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</w:t>
            </w:r>
            <w:r w:rsidR="00C90226">
              <w:rPr>
                <w:sz w:val="24"/>
                <w:szCs w:val="24"/>
              </w:rPr>
              <w:t>18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887F8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90226">
              <w:rPr>
                <w:sz w:val="24"/>
                <w:szCs w:val="24"/>
              </w:rPr>
              <w:t>8</w:t>
            </w:r>
            <w:r w:rsidR="006016AC">
              <w:rPr>
                <w:sz w:val="24"/>
                <w:szCs w:val="24"/>
              </w:rPr>
              <w:t>5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A290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  <w:bookmarkStart w:id="0" w:name="_GoBack"/>
            <w:bookmarkEnd w:id="0"/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A3CAB" w:rsidP="006A6F5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A6F57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31/05/16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07/06/16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05/11/16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11/11/16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24/11/16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02/12/16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6016AC" w:rsidRPr="003D47D5" w:rsidRDefault="006016AC" w:rsidP="006016AC">
            <w:pPr>
              <w:spacing w:after="0"/>
            </w:pPr>
            <w:r w:rsidRPr="003D47D5">
              <w:t>25/11/16</w:t>
            </w:r>
          </w:p>
        </w:tc>
        <w:tc>
          <w:tcPr>
            <w:tcW w:w="1134" w:type="dxa"/>
          </w:tcPr>
          <w:p w:rsidR="006016AC" w:rsidRPr="00D00BBF" w:rsidRDefault="006016AC" w:rsidP="006016AC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</w:p>
        </w:tc>
      </w:tr>
      <w:tr w:rsidR="006016AC" w:rsidTr="007724B2">
        <w:tc>
          <w:tcPr>
            <w:tcW w:w="1984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6016AC" w:rsidRDefault="006016AC" w:rsidP="006016AC">
            <w:pPr>
              <w:spacing w:after="0"/>
            </w:pPr>
            <w:r w:rsidRPr="003D47D5">
              <w:t>24/05/17</w:t>
            </w:r>
          </w:p>
        </w:tc>
        <w:tc>
          <w:tcPr>
            <w:tcW w:w="1134" w:type="dxa"/>
          </w:tcPr>
          <w:p w:rsidR="006016AC" w:rsidRDefault="006016AC" w:rsidP="006016AC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6016AC" w:rsidRPr="008D0480" w:rsidRDefault="006016AC" w:rsidP="006016A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567"/>
        <w:gridCol w:w="1421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6A6F57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56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42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6A6F57">
        <w:tc>
          <w:tcPr>
            <w:tcW w:w="1083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567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421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6A6F57">
        <w:tc>
          <w:tcPr>
            <w:tcW w:w="1083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567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421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6A6F57">
        <w:tc>
          <w:tcPr>
            <w:tcW w:w="1083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567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421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567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567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567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:rsidTr="006A6F57">
        <w:tc>
          <w:tcPr>
            <w:tcW w:w="1083" w:type="dxa"/>
          </w:tcPr>
          <w:p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567" w:type="dxa"/>
          </w:tcPr>
          <w:p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\02_TESTES.</w:t>
            </w:r>
          </w:p>
        </w:tc>
        <w:tc>
          <w:tcPr>
            <w:tcW w:w="1421" w:type="dxa"/>
          </w:tcPr>
          <w:p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  <w:tr w:rsidR="006A6F57" w:rsidTr="006A6F57">
        <w:tc>
          <w:tcPr>
            <w:tcW w:w="1083" w:type="dxa"/>
          </w:tcPr>
          <w:p w:rsidR="006A6F57" w:rsidRDefault="006A6F57" w:rsidP="006A6F57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6567" w:type="dxa"/>
          </w:tcPr>
          <w:p w:rsidR="006A6F57" w:rsidRDefault="006A6F57" w:rsidP="006A6F57">
            <w:pPr>
              <w:spacing w:after="0"/>
            </w:pPr>
            <w:r w:rsidRPr="006A6F57">
              <w:t>OS entregue novamente, das 15 inconformidades que foram abertas, 10 foram devolvidas e 5 foram corrigidas e disponibilizadas.</w:t>
            </w:r>
            <w:r w:rsidR="00C90226">
              <w:t xml:space="preserve"> </w:t>
            </w:r>
            <w:r w:rsidR="00C90226" w:rsidRPr="00C90226">
              <w:t xml:space="preserve">Código do </w:t>
            </w:r>
            <w:proofErr w:type="spellStart"/>
            <w:r w:rsidR="00C90226" w:rsidRPr="00C90226">
              <w:t>commit</w:t>
            </w:r>
            <w:proofErr w:type="spellEnd"/>
            <w:r w:rsidR="00C90226" w:rsidRPr="00C90226">
              <w:t>: ECCF549</w:t>
            </w:r>
            <w:r w:rsidR="00C90226">
              <w:t>.</w:t>
            </w:r>
          </w:p>
        </w:tc>
        <w:tc>
          <w:tcPr>
            <w:tcW w:w="1421" w:type="dxa"/>
          </w:tcPr>
          <w:p w:rsidR="006A6F57" w:rsidRPr="006617BF" w:rsidRDefault="006A6F57" w:rsidP="006A6F57">
            <w:pPr>
              <w:spacing w:after="0"/>
            </w:pPr>
            <w:r w:rsidRPr="006617BF">
              <w:t>NTC - Rodrigo Borges</w:t>
            </w:r>
          </w:p>
        </w:tc>
      </w:tr>
      <w:tr w:rsidR="00C90226" w:rsidTr="006A6F57">
        <w:tc>
          <w:tcPr>
            <w:tcW w:w="1083" w:type="dxa"/>
          </w:tcPr>
          <w:p w:rsidR="00C90226" w:rsidRDefault="00C90226" w:rsidP="00C90226">
            <w:pPr>
              <w:spacing w:after="0"/>
              <w:jc w:val="center"/>
            </w:pPr>
            <w:r>
              <w:lastRenderedPageBreak/>
              <w:t>07/11/16</w:t>
            </w:r>
          </w:p>
        </w:tc>
        <w:tc>
          <w:tcPr>
            <w:tcW w:w="6567" w:type="dxa"/>
          </w:tcPr>
          <w:p w:rsidR="00C90226" w:rsidRPr="006A6F57" w:rsidRDefault="00C90226" w:rsidP="00C90226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C90226" w:rsidRPr="006617BF" w:rsidRDefault="00C90226" w:rsidP="00C90226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</w:t>
      </w:r>
      <w:r w:rsidR="000E03DC" w:rsidRPr="000E03DC">
        <w:lastRenderedPageBreak/>
        <w:t>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90226" w:rsidRPr="001F417B">
        <w:t xml:space="preserve">Acréscimo de mais </w:t>
      </w:r>
      <w:r w:rsidR="00C90226">
        <w:t>09</w:t>
      </w:r>
      <w:r w:rsidR="00C90226" w:rsidRPr="001F417B">
        <w:t xml:space="preserve"> dias corridos, entre os dias </w:t>
      </w:r>
      <w:r w:rsidR="00C90226">
        <w:t>07</w:t>
      </w:r>
      <w:r w:rsidR="00C90226" w:rsidRPr="001F417B">
        <w:t xml:space="preserve"> a 15/1</w:t>
      </w:r>
      <w:r w:rsidR="00C90226">
        <w:t>1</w:t>
      </w:r>
      <w:r w:rsidR="00C90226" w:rsidRPr="001F417B">
        <w:t>/16 para aguardar disponibilidade de testes da OS no ambiente de testes do CIAT.</w:t>
      </w:r>
      <w:r w:rsidR="00C90226">
        <w:t xml:space="preserve"> </w:t>
      </w:r>
      <w:r w:rsidR="00C54A85" w:rsidRPr="00C54A85">
        <w:t xml:space="preserve">Totalizando </w:t>
      </w:r>
      <w:r w:rsidR="001F417B">
        <w:t>1</w:t>
      </w:r>
      <w:r w:rsidR="00C90226">
        <w:t>18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E62953" w:rsidRDefault="00E62953" w:rsidP="00A21002">
      <w:pPr>
        <w:jc w:val="both"/>
      </w:pPr>
    </w:p>
    <w:p w:rsidR="008A4D56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E9" w:rsidRDefault="00691DE9" w:rsidP="00924102">
      <w:r>
        <w:separator/>
      </w:r>
    </w:p>
  </w:endnote>
  <w:endnote w:type="continuationSeparator" w:id="0">
    <w:p w:rsidR="00691DE9" w:rsidRDefault="00691DE9" w:rsidP="00924102">
      <w:r>
        <w:continuationSeparator/>
      </w:r>
    </w:p>
  </w:endnote>
  <w:endnote w:type="continuationNotice" w:id="1">
    <w:p w:rsidR="00691DE9" w:rsidRDefault="00691D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290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691DE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501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E9" w:rsidRDefault="00691DE9" w:rsidP="00924102">
      <w:r>
        <w:separator/>
      </w:r>
    </w:p>
  </w:footnote>
  <w:footnote w:type="continuationSeparator" w:id="0">
    <w:p w:rsidR="00691DE9" w:rsidRDefault="00691DE9" w:rsidP="00924102">
      <w:r>
        <w:continuationSeparator/>
      </w:r>
    </w:p>
  </w:footnote>
  <w:footnote w:type="continuationNotice" w:id="1">
    <w:p w:rsidR="00691DE9" w:rsidRDefault="00691DE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47656"/>
    <w:rsid w:val="00064932"/>
    <w:rsid w:val="000A2281"/>
    <w:rsid w:val="000C42B3"/>
    <w:rsid w:val="000E03DC"/>
    <w:rsid w:val="00170289"/>
    <w:rsid w:val="0019529F"/>
    <w:rsid w:val="00195E06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016AC"/>
    <w:rsid w:val="0064662B"/>
    <w:rsid w:val="00684C14"/>
    <w:rsid w:val="00691DE9"/>
    <w:rsid w:val="006A6F57"/>
    <w:rsid w:val="006C1961"/>
    <w:rsid w:val="006D69DA"/>
    <w:rsid w:val="006E2E72"/>
    <w:rsid w:val="00752E0A"/>
    <w:rsid w:val="00760B24"/>
    <w:rsid w:val="0077234A"/>
    <w:rsid w:val="007724B2"/>
    <w:rsid w:val="0079647E"/>
    <w:rsid w:val="007A2904"/>
    <w:rsid w:val="007D2016"/>
    <w:rsid w:val="007D2D08"/>
    <w:rsid w:val="00800B58"/>
    <w:rsid w:val="008425D0"/>
    <w:rsid w:val="00847E4F"/>
    <w:rsid w:val="00855F66"/>
    <w:rsid w:val="00887F89"/>
    <w:rsid w:val="00890575"/>
    <w:rsid w:val="008A3CAB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90226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dcterms:created xsi:type="dcterms:W3CDTF">2016-08-15T13:24:00Z</dcterms:created>
  <dcterms:modified xsi:type="dcterms:W3CDTF">2016-11-21T15:04:00Z</dcterms:modified>
</cp:coreProperties>
</file>