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D20137" w:rsidRPr="00C53C70" w:rsidRDefault="008A1931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D55388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EA1126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EA1126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975D2">
              <w:rPr>
                <w:sz w:val="24"/>
                <w:szCs w:val="24"/>
              </w:rPr>
              <w:t>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1A3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127C8" w:rsidTr="009F66C9">
        <w:tc>
          <w:tcPr>
            <w:tcW w:w="1984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6127C8" w:rsidRPr="00367230" w:rsidRDefault="006127C8" w:rsidP="006127C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6127C8" w:rsidRPr="00AA422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6C57E8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4D52D8" w:rsidP="00D55388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D55388" w:rsidRPr="008D0480" w:rsidRDefault="004D52D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15/07/16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03/08/16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29/07/16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25/01/17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6127C8" w:rsidTr="00704BEC">
        <w:tc>
          <w:tcPr>
            <w:tcW w:w="1134" w:type="dxa"/>
          </w:tcPr>
          <w:p w:rsidR="006127C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936587" w:rsidTr="00C41285">
        <w:tc>
          <w:tcPr>
            <w:tcW w:w="1134" w:type="dxa"/>
          </w:tcPr>
          <w:p w:rsidR="00936587" w:rsidRDefault="00526368" w:rsidP="00B1012E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5102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EA1126" w:rsidTr="00C41285">
        <w:tc>
          <w:tcPr>
            <w:tcW w:w="1134" w:type="dxa"/>
          </w:tcPr>
          <w:p w:rsidR="00EA1126" w:rsidRPr="00367230" w:rsidRDefault="00EA1126" w:rsidP="00EA1126">
            <w:pPr>
              <w:spacing w:line="240" w:lineRule="auto"/>
              <w:ind w:firstLine="0"/>
              <w:jc w:val="center"/>
            </w:pPr>
            <w:bookmarkStart w:id="0" w:name="_GoBack" w:colFirst="2" w:colLast="2"/>
            <w:r>
              <w:t>30/06/16</w:t>
            </w:r>
          </w:p>
        </w:tc>
        <w:tc>
          <w:tcPr>
            <w:tcW w:w="5102" w:type="dxa"/>
          </w:tcPr>
          <w:p w:rsidR="00EA1126" w:rsidRDefault="00EA1126" w:rsidP="00EA1126">
            <w:pPr>
              <w:spacing w:line="240" w:lineRule="auto"/>
              <w:ind w:firstLine="0"/>
              <w:jc w:val="left"/>
            </w:pPr>
            <w:r w:rsidRPr="00EA1126">
              <w:t>Paralisação da execução por falta de insumos.</w:t>
            </w:r>
          </w:p>
        </w:tc>
        <w:tc>
          <w:tcPr>
            <w:tcW w:w="2835" w:type="dxa"/>
          </w:tcPr>
          <w:p w:rsidR="00EA1126" w:rsidRDefault="00EA1126" w:rsidP="00EA1126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bookmarkEnd w:id="0"/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EA1126" w:rsidRPr="002336D0" w:rsidRDefault="00EA1126" w:rsidP="00EA1126">
      <w:pPr>
        <w:ind w:firstLine="0"/>
        <w:jc w:val="left"/>
      </w:pPr>
      <w:r>
        <w:t>Por solicitação da NT Consult a ordem de serviço foi autorizada a paralização a partir de 30/06/2016 por falta de disponibilização da massa de teste.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998" w:rsidRDefault="00FD2998" w:rsidP="002532D9">
      <w:pPr>
        <w:spacing w:after="0" w:line="240" w:lineRule="auto"/>
      </w:pPr>
      <w:r>
        <w:separator/>
      </w:r>
    </w:p>
  </w:endnote>
  <w:endnote w:type="continuationSeparator" w:id="0">
    <w:p w:rsidR="00FD2998" w:rsidRDefault="00FD2998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FD2998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9149814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998" w:rsidRDefault="00FD2998" w:rsidP="002532D9">
      <w:pPr>
        <w:spacing w:after="0" w:line="240" w:lineRule="auto"/>
      </w:pPr>
      <w:r>
        <w:separator/>
      </w:r>
    </w:p>
  </w:footnote>
  <w:footnote w:type="continuationSeparator" w:id="0">
    <w:p w:rsidR="00FD2998" w:rsidRDefault="00FD2998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FD2998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975D2"/>
    <w:rsid w:val="000A2502"/>
    <w:rsid w:val="000B0E2A"/>
    <w:rsid w:val="000E05D9"/>
    <w:rsid w:val="001E5A67"/>
    <w:rsid w:val="002252D2"/>
    <w:rsid w:val="002532D9"/>
    <w:rsid w:val="002644B6"/>
    <w:rsid w:val="00331B39"/>
    <w:rsid w:val="00346730"/>
    <w:rsid w:val="004748F1"/>
    <w:rsid w:val="00495101"/>
    <w:rsid w:val="004A4075"/>
    <w:rsid w:val="004B4663"/>
    <w:rsid w:val="004D52D8"/>
    <w:rsid w:val="00526368"/>
    <w:rsid w:val="005566EB"/>
    <w:rsid w:val="00563EB4"/>
    <w:rsid w:val="00564039"/>
    <w:rsid w:val="0060344F"/>
    <w:rsid w:val="006127C8"/>
    <w:rsid w:val="00654B6C"/>
    <w:rsid w:val="00660291"/>
    <w:rsid w:val="00667BFA"/>
    <w:rsid w:val="00694555"/>
    <w:rsid w:val="006E3009"/>
    <w:rsid w:val="006F4E86"/>
    <w:rsid w:val="00713654"/>
    <w:rsid w:val="0072467B"/>
    <w:rsid w:val="00772BF2"/>
    <w:rsid w:val="0078325E"/>
    <w:rsid w:val="007B3CE8"/>
    <w:rsid w:val="007B77A2"/>
    <w:rsid w:val="007C4394"/>
    <w:rsid w:val="00816286"/>
    <w:rsid w:val="00822E0A"/>
    <w:rsid w:val="008240AF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9C4375"/>
    <w:rsid w:val="00A02D7D"/>
    <w:rsid w:val="00A02EA4"/>
    <w:rsid w:val="00A8027A"/>
    <w:rsid w:val="00AC2854"/>
    <w:rsid w:val="00B1012E"/>
    <w:rsid w:val="00B264B6"/>
    <w:rsid w:val="00B30015"/>
    <w:rsid w:val="00B52778"/>
    <w:rsid w:val="00B57874"/>
    <w:rsid w:val="00BA15EB"/>
    <w:rsid w:val="00C005FE"/>
    <w:rsid w:val="00C04B20"/>
    <w:rsid w:val="00C40634"/>
    <w:rsid w:val="00C41285"/>
    <w:rsid w:val="00C44F48"/>
    <w:rsid w:val="00C53C70"/>
    <w:rsid w:val="00D20137"/>
    <w:rsid w:val="00D37C0C"/>
    <w:rsid w:val="00D55388"/>
    <w:rsid w:val="00D77123"/>
    <w:rsid w:val="00E43202"/>
    <w:rsid w:val="00E72234"/>
    <w:rsid w:val="00E84750"/>
    <w:rsid w:val="00E86A55"/>
    <w:rsid w:val="00EA1126"/>
    <w:rsid w:val="00F24394"/>
    <w:rsid w:val="00F257BD"/>
    <w:rsid w:val="00FD21EB"/>
    <w:rsid w:val="00F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41F5C4F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14</cp:revision>
  <cp:lastPrinted>2016-06-22T17:36:00Z</cp:lastPrinted>
  <dcterms:created xsi:type="dcterms:W3CDTF">2016-05-09T19:51:00Z</dcterms:created>
  <dcterms:modified xsi:type="dcterms:W3CDTF">2016-07-04T18:04:00Z</dcterms:modified>
</cp:coreProperties>
</file>