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C4DE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19/08/16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09/09/16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06/09/16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3A27BF" w:rsidP="00494821">
            <w:pPr>
              <w:spacing w:after="0"/>
              <w:jc w:val="center"/>
            </w:pPr>
            <w:r w:rsidRPr="00EC2646">
              <w:t>05/03/17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</w:t>
            </w:r>
            <w:r>
              <w:t>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  <w:bookmarkStart w:id="0" w:name="_GoBack"/>
      <w:bookmarkEnd w:id="0"/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134" w:rsidRDefault="00D84134" w:rsidP="00924102">
      <w:r>
        <w:separator/>
      </w:r>
    </w:p>
  </w:endnote>
  <w:endnote w:type="continuationSeparator" w:id="0">
    <w:p w:rsidR="00D84134" w:rsidRDefault="00D8413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16E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D8413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872863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134" w:rsidRDefault="00D84134" w:rsidP="00924102">
      <w:r>
        <w:separator/>
      </w:r>
    </w:p>
  </w:footnote>
  <w:footnote w:type="continuationSeparator" w:id="0">
    <w:p w:rsidR="00D84134" w:rsidRDefault="00D8413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A27BF"/>
    <w:rsid w:val="0043338A"/>
    <w:rsid w:val="00480E00"/>
    <w:rsid w:val="00494821"/>
    <w:rsid w:val="004E669A"/>
    <w:rsid w:val="005A63C9"/>
    <w:rsid w:val="007D2016"/>
    <w:rsid w:val="007D2D08"/>
    <w:rsid w:val="00800B58"/>
    <w:rsid w:val="008A4D56"/>
    <w:rsid w:val="008C4DE7"/>
    <w:rsid w:val="00924102"/>
    <w:rsid w:val="00960027"/>
    <w:rsid w:val="009E710D"/>
    <w:rsid w:val="009E7CDC"/>
    <w:rsid w:val="00A97376"/>
    <w:rsid w:val="00D84134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CF6283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8</cp:revision>
  <dcterms:created xsi:type="dcterms:W3CDTF">2016-06-08T14:57:00Z</dcterms:created>
  <dcterms:modified xsi:type="dcterms:W3CDTF">2016-06-29T21:04:00Z</dcterms:modified>
</cp:coreProperties>
</file>