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FD1DD9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D1DD9" w:rsidP="003A27BF">
            <w:pPr>
              <w:spacing w:after="0"/>
              <w:rPr>
                <w:sz w:val="24"/>
                <w:szCs w:val="24"/>
              </w:rPr>
            </w:pPr>
            <w:r w:rsidRPr="00FD1DD9">
              <w:rPr>
                <w:sz w:val="24"/>
                <w:szCs w:val="24"/>
              </w:rPr>
              <w:t>Reentregue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D1D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FD1DD9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1C32F2">
              <w:rPr>
                <w:szCs w:val="20"/>
              </w:rPr>
              <w:t>/</w:t>
            </w:r>
            <w:r>
              <w:rPr>
                <w:szCs w:val="20"/>
              </w:rPr>
              <w:t>10</w:t>
            </w:r>
            <w:r w:rsidR="001C32F2">
              <w:rPr>
                <w:szCs w:val="20"/>
              </w:rPr>
              <w:t>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2C5766">
            <w:pPr>
              <w:spacing w:after="0"/>
              <w:jc w:val="center"/>
            </w:pPr>
            <w:r>
              <w:t>05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23</w:t>
            </w:r>
            <w:r w:rsidR="0037400D" w:rsidRPr="0037400D">
              <w:t>/</w:t>
            </w:r>
            <w:r w:rsidR="00F55A2C">
              <w:t>1</w:t>
            </w:r>
            <w:r w:rsidR="002C5766">
              <w:t>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24</w:t>
            </w:r>
            <w:r w:rsidR="0037400D" w:rsidRPr="0037400D">
              <w:t>/</w:t>
            </w:r>
            <w:r w:rsidR="00F55A2C">
              <w:t>1</w:t>
            </w:r>
            <w:r w:rsidR="0037400D" w:rsidRPr="0037400D">
              <w:t>0/16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F55A2C">
            <w:pPr>
              <w:spacing w:after="0"/>
              <w:jc w:val="center"/>
            </w:pPr>
            <w:r>
              <w:t>22</w:t>
            </w:r>
            <w:r w:rsidR="0037400D" w:rsidRPr="0037400D">
              <w:t>/0</w:t>
            </w:r>
            <w:r w:rsidR="00F55A2C">
              <w:t>4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bookmarkStart w:id="0" w:name="_GoBack"/>
            <w:bookmarkEnd w:id="0"/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28" w:rsidRDefault="00EB0028" w:rsidP="00924102">
      <w:r>
        <w:separator/>
      </w:r>
    </w:p>
  </w:endnote>
  <w:endnote w:type="continuationSeparator" w:id="0">
    <w:p w:rsidR="00EB0028" w:rsidRDefault="00EB002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AA504D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3A8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B002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389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28" w:rsidRDefault="00EB0028" w:rsidP="00924102">
      <w:r>
        <w:separator/>
      </w:r>
    </w:p>
  </w:footnote>
  <w:footnote w:type="continuationSeparator" w:id="0">
    <w:p w:rsidR="00EB0028" w:rsidRDefault="00EB002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30A90"/>
    <w:rsid w:val="00040AF7"/>
    <w:rsid w:val="000702C4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B1A0D"/>
    <w:rsid w:val="009E710D"/>
    <w:rsid w:val="009E7CDC"/>
    <w:rsid w:val="009F447B"/>
    <w:rsid w:val="00A00226"/>
    <w:rsid w:val="00A110D9"/>
    <w:rsid w:val="00A97376"/>
    <w:rsid w:val="00AA504D"/>
    <w:rsid w:val="00AF0EC7"/>
    <w:rsid w:val="00B10ACF"/>
    <w:rsid w:val="00B42F28"/>
    <w:rsid w:val="00B51A24"/>
    <w:rsid w:val="00C37C6C"/>
    <w:rsid w:val="00CD6883"/>
    <w:rsid w:val="00CF1AB3"/>
    <w:rsid w:val="00D84134"/>
    <w:rsid w:val="00D976D6"/>
    <w:rsid w:val="00DD2F70"/>
    <w:rsid w:val="00DD3702"/>
    <w:rsid w:val="00E3617F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3A2F843"/>
  <w15:docId w15:val="{4C91D65D-6ED1-4793-AC2A-6EB9E65D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27</cp:revision>
  <dcterms:created xsi:type="dcterms:W3CDTF">2016-06-08T14:57:00Z</dcterms:created>
  <dcterms:modified xsi:type="dcterms:W3CDTF">2016-10-21T11:32:00Z</dcterms:modified>
</cp:coreProperties>
</file>