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>
              <w:rPr>
                <w:sz w:val="24"/>
                <w:szCs w:val="24"/>
              </w:rPr>
              <w:t xml:space="preserve">Gestão de Segurança - </w:t>
            </w:r>
            <w:r w:rsidRPr="00BE13F3">
              <w:rPr>
                <w:sz w:val="24"/>
                <w:szCs w:val="24"/>
              </w:rPr>
              <w:t xml:space="preserve">Manter </w:t>
            </w:r>
            <w:r w:rsidRPr="000117D9">
              <w:rPr>
                <w:sz w:val="24"/>
                <w:szCs w:val="24"/>
              </w:rPr>
              <w:t>Funcionalidades e Perfil</w:t>
            </w:r>
            <w:r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B10ACF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  <w:vAlign w:val="center"/>
          </w:tcPr>
          <w:p w:rsidR="003A27BF" w:rsidRPr="00C53C70" w:rsidRDefault="003A27BF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7400D" w:rsidP="00B10AC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 xml:space="preserve">Acréscimo de </w:t>
            </w:r>
            <w:r w:rsidR="00CF1AB3">
              <w:rPr>
                <w:sz w:val="24"/>
                <w:szCs w:val="24"/>
              </w:rPr>
              <w:t>45</w:t>
            </w:r>
            <w:r w:rsidR="0000187B">
              <w:rPr>
                <w:sz w:val="24"/>
                <w:szCs w:val="24"/>
              </w:rPr>
              <w:t xml:space="preserve"> </w:t>
            </w:r>
            <w:r w:rsidRPr="004B608F">
              <w:rPr>
                <w:sz w:val="24"/>
                <w:szCs w:val="24"/>
              </w:rPr>
              <w:t>dias corridos.</w:t>
            </w:r>
          </w:p>
        </w:tc>
      </w:tr>
      <w:tr w:rsidR="0037400D" w:rsidTr="00B10ACF">
        <w:tc>
          <w:tcPr>
            <w:tcW w:w="1698" w:type="dxa"/>
            <w:vAlign w:val="center"/>
          </w:tcPr>
          <w:p w:rsidR="0037400D" w:rsidRDefault="0037400D" w:rsidP="0037400D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7400D" w:rsidRPr="00772BF2" w:rsidRDefault="0037400D" w:rsidP="0037400D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160</w:t>
            </w:r>
          </w:p>
        </w:tc>
        <w:tc>
          <w:tcPr>
            <w:tcW w:w="1417" w:type="dxa"/>
            <w:vAlign w:val="center"/>
          </w:tcPr>
          <w:p w:rsidR="0037400D" w:rsidRPr="00C53C70" w:rsidRDefault="00710BCA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7400D">
              <w:rPr>
                <w:sz w:val="24"/>
                <w:szCs w:val="24"/>
              </w:rPr>
              <w:t>/09/16</w:t>
            </w:r>
          </w:p>
        </w:tc>
        <w:tc>
          <w:tcPr>
            <w:tcW w:w="1417" w:type="dxa"/>
            <w:vAlign w:val="center"/>
          </w:tcPr>
          <w:p w:rsidR="0037400D" w:rsidRPr="00C53C70" w:rsidRDefault="00FD1DD9" w:rsidP="00B10AC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133</w:t>
            </w:r>
            <w:r w:rsidR="0037400D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7400D" w:rsidRPr="00C53C70" w:rsidRDefault="0037400D" w:rsidP="00B10ACF">
            <w:pPr>
              <w:spacing w:after="0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SEGUC0410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Sistemas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SEGUC0420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Funcionalidades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SEGUC0430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Papeis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SEGUC0440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Perfis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SEGUC0450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Atribuir Perfis a Usuários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SEGUC0460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Procuração e Retirar Opções do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SEGUC0470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Selecionar Contribuinte Procurador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  <w:r w:rsidRPr="007B6BD8">
              <w:t>SEGUC0480</w:t>
            </w: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  <w:r w:rsidRPr="00CE3D3E">
              <w:t>Solicitar para Atuar como Usuário Principal de uma Empresa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912D7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DD2860" w:rsidP="00912D7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912D74">
              <w:rPr>
                <w:sz w:val="24"/>
                <w:szCs w:val="24"/>
              </w:rPr>
              <w:t>5</w:t>
            </w:r>
            <w:r w:rsidR="003A27BF" w:rsidRPr="008D0480">
              <w:rPr>
                <w:sz w:val="24"/>
                <w:szCs w:val="24"/>
              </w:rPr>
              <w:t>/</w:t>
            </w:r>
            <w:r w:rsidR="00CF1AB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15/06/16</w:t>
            </w:r>
          </w:p>
        </w:tc>
        <w:tc>
          <w:tcPr>
            <w:tcW w:w="1134" w:type="dxa"/>
          </w:tcPr>
          <w:p w:rsidR="003A27BF" w:rsidRPr="00AA4228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4819" w:type="dxa"/>
            <w:vAlign w:val="center"/>
          </w:tcPr>
          <w:p w:rsidR="003A27BF" w:rsidRPr="008D0480" w:rsidRDefault="001B1F85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22/06/16</w:t>
            </w:r>
          </w:p>
        </w:tc>
        <w:tc>
          <w:tcPr>
            <w:tcW w:w="1134" w:type="dxa"/>
          </w:tcPr>
          <w:p w:rsidR="003A27BF" w:rsidRPr="00AA4228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4819" w:type="dxa"/>
            <w:vAlign w:val="center"/>
          </w:tcPr>
          <w:p w:rsidR="003A27BF" w:rsidRPr="008D0480" w:rsidRDefault="008C4DE7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A27BF" w:rsidRPr="00EC2646" w:rsidRDefault="00CF1AB3" w:rsidP="00494821">
            <w:pPr>
              <w:spacing w:after="0"/>
              <w:jc w:val="center"/>
            </w:pPr>
            <w:r>
              <w:t>21</w:t>
            </w:r>
            <w:r w:rsidR="0037400D" w:rsidRPr="0037400D">
              <w:t>/0</w:t>
            </w:r>
            <w:r>
              <w:t>9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3A27BF" w:rsidRPr="008D0480" w:rsidRDefault="00912D74" w:rsidP="00912D74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05</w:t>
            </w:r>
            <w:r w:rsidR="001C32F2">
              <w:rPr>
                <w:szCs w:val="20"/>
              </w:rPr>
              <w:t>/</w:t>
            </w:r>
            <w:r w:rsidR="00FD1DD9">
              <w:rPr>
                <w:szCs w:val="20"/>
              </w:rPr>
              <w:t>1</w:t>
            </w:r>
            <w:r>
              <w:rPr>
                <w:szCs w:val="20"/>
              </w:rPr>
              <w:t>1</w:t>
            </w:r>
            <w:r w:rsidR="001C32F2">
              <w:rPr>
                <w:szCs w:val="20"/>
              </w:rPr>
              <w:t>/16</w:t>
            </w:r>
          </w:p>
        </w:tc>
        <w:tc>
          <w:tcPr>
            <w:tcW w:w="4819" w:type="dxa"/>
            <w:vAlign w:val="center"/>
          </w:tcPr>
          <w:p w:rsidR="003A27BF" w:rsidRPr="008D0480" w:rsidRDefault="001C32F2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A110D9" w:rsidRPr="00EC2646" w:rsidRDefault="00DC0F19" w:rsidP="002C5766">
            <w:pPr>
              <w:spacing w:after="0"/>
              <w:jc w:val="center"/>
            </w:pPr>
            <w:r>
              <w:t>31</w:t>
            </w:r>
            <w:r w:rsidR="0037400D" w:rsidRPr="0037400D">
              <w:t>/</w:t>
            </w:r>
            <w:r w:rsidR="00CF1AB3">
              <w:t>10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15/09/16</w:t>
            </w: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A110D9" w:rsidRPr="00EC2646" w:rsidRDefault="00DC0F19" w:rsidP="00DC0F19">
            <w:pPr>
              <w:spacing w:after="0"/>
              <w:jc w:val="center"/>
            </w:pPr>
            <w:r>
              <w:t>18</w:t>
            </w:r>
            <w:r w:rsidR="0037400D" w:rsidRPr="0037400D">
              <w:t>/</w:t>
            </w:r>
            <w:r w:rsidR="00F55A2C">
              <w:t>1</w:t>
            </w:r>
            <w:r>
              <w:t>1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A110D9" w:rsidRPr="00EC2646" w:rsidRDefault="00CF1AB3" w:rsidP="00A110D9">
            <w:pPr>
              <w:spacing w:after="0"/>
              <w:jc w:val="center"/>
            </w:pPr>
            <w:r>
              <w:t>26</w:t>
            </w:r>
            <w:r w:rsidR="0037400D" w:rsidRPr="0037400D">
              <w:t>/</w:t>
            </w:r>
            <w:r>
              <w:t>10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A110D9" w:rsidRPr="00EC2646" w:rsidRDefault="00CF1AB3" w:rsidP="00DC0F19">
            <w:pPr>
              <w:spacing w:after="0"/>
              <w:jc w:val="center"/>
            </w:pPr>
            <w:r>
              <w:t>2</w:t>
            </w:r>
            <w:r w:rsidR="00DC0F19">
              <w:t>1</w:t>
            </w:r>
            <w:r w:rsidR="0037400D" w:rsidRPr="0037400D">
              <w:t>/</w:t>
            </w:r>
            <w:r w:rsidR="00F55A2C">
              <w:t>1</w:t>
            </w:r>
            <w:r w:rsidR="00DC0F19">
              <w:t>1</w:t>
            </w:r>
            <w:r w:rsidR="0037400D" w:rsidRPr="0037400D">
              <w:t>/16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  <w:tr w:rsidR="00A110D9" w:rsidTr="00494821">
        <w:tc>
          <w:tcPr>
            <w:tcW w:w="1984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A110D9" w:rsidRDefault="00CF1AB3" w:rsidP="00DC0F19">
            <w:pPr>
              <w:spacing w:after="0"/>
              <w:jc w:val="center"/>
            </w:pPr>
            <w:r>
              <w:t>2</w:t>
            </w:r>
            <w:r w:rsidR="00DC0F19">
              <w:t>0</w:t>
            </w:r>
            <w:r w:rsidR="0037400D" w:rsidRPr="0037400D">
              <w:t>/0</w:t>
            </w:r>
            <w:r w:rsidR="00DC0F19">
              <w:t>5</w:t>
            </w:r>
            <w:r w:rsidR="0037400D" w:rsidRPr="0037400D">
              <w:t>/17</w:t>
            </w:r>
          </w:p>
        </w:tc>
        <w:tc>
          <w:tcPr>
            <w:tcW w:w="1134" w:type="dxa"/>
            <w:vAlign w:val="center"/>
          </w:tcPr>
          <w:p w:rsidR="00A110D9" w:rsidRPr="008D0480" w:rsidRDefault="00A110D9" w:rsidP="00A110D9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A110D9" w:rsidRPr="008D0480" w:rsidRDefault="00A110D9" w:rsidP="00A110D9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5102" w:type="dxa"/>
          </w:tcPr>
          <w:p w:rsidR="003A27BF" w:rsidRDefault="001B1F85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1B1F85" w:rsidP="003A27BF">
            <w:pPr>
              <w:spacing w:after="0"/>
            </w:pPr>
            <w:r>
              <w:t xml:space="preserve">NTC </w:t>
            </w:r>
            <w:r w:rsidR="004E669A">
              <w:t>-</w:t>
            </w:r>
            <w:r>
              <w:t xml:space="preserve">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8C4DE7" w:rsidP="003A27BF">
            <w:pPr>
              <w:spacing w:after="0"/>
              <w:jc w:val="center"/>
            </w:pPr>
            <w:r>
              <w:t>22/06/16</w:t>
            </w:r>
          </w:p>
        </w:tc>
        <w:tc>
          <w:tcPr>
            <w:tcW w:w="5102" w:type="dxa"/>
          </w:tcPr>
          <w:p w:rsidR="003A27BF" w:rsidRDefault="008C4DE7" w:rsidP="003A27BF">
            <w:pPr>
              <w:spacing w:after="0"/>
            </w:pPr>
            <w:r w:rsidRPr="008C4DE7">
              <w:t>Entrega do Plano</w:t>
            </w:r>
          </w:p>
        </w:tc>
        <w:tc>
          <w:tcPr>
            <w:tcW w:w="2835" w:type="dxa"/>
          </w:tcPr>
          <w:p w:rsidR="003A27BF" w:rsidRDefault="008C4DE7" w:rsidP="003A27BF">
            <w:pPr>
              <w:spacing w:after="0"/>
            </w:pPr>
            <w:r w:rsidRPr="008C4DE7">
              <w:t>NTC - Rodrigo Borges</w:t>
            </w:r>
          </w:p>
        </w:tc>
      </w:tr>
      <w:tr w:rsidR="002A16EE" w:rsidTr="00976000">
        <w:tc>
          <w:tcPr>
            <w:tcW w:w="1134" w:type="dxa"/>
          </w:tcPr>
          <w:p w:rsidR="002A16EE" w:rsidRDefault="002A16EE" w:rsidP="002A16EE">
            <w:pPr>
              <w:spacing w:after="0"/>
              <w:jc w:val="center"/>
            </w:pPr>
            <w:r>
              <w:t>29/06/16</w:t>
            </w:r>
          </w:p>
        </w:tc>
        <w:tc>
          <w:tcPr>
            <w:tcW w:w="5102" w:type="dxa"/>
          </w:tcPr>
          <w:p w:rsidR="002A16EE" w:rsidRDefault="002A16EE" w:rsidP="002A16EE">
            <w:pPr>
              <w:spacing w:after="0"/>
            </w:pPr>
            <w:r>
              <w:t>Publicação de novas versões dos casos de usos</w:t>
            </w:r>
          </w:p>
        </w:tc>
        <w:tc>
          <w:tcPr>
            <w:tcW w:w="2835" w:type="dxa"/>
          </w:tcPr>
          <w:p w:rsidR="002A16EE" w:rsidRDefault="002A16EE" w:rsidP="002A16EE">
            <w:pPr>
              <w:spacing w:after="0"/>
            </w:pPr>
            <w:r w:rsidRPr="004748F1">
              <w:t>CIAT - João Paulo</w:t>
            </w:r>
          </w:p>
        </w:tc>
      </w:tr>
      <w:tr w:rsidR="009129A3" w:rsidTr="00976000">
        <w:tc>
          <w:tcPr>
            <w:tcW w:w="1134" w:type="dxa"/>
          </w:tcPr>
          <w:p w:rsidR="009129A3" w:rsidRPr="00DF177C" w:rsidRDefault="009129A3" w:rsidP="009129A3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9129A3" w:rsidRPr="00DF177C" w:rsidRDefault="009129A3" w:rsidP="009129A3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  <w:r w:rsidR="00CF1AB3">
              <w:t xml:space="preserve"> </w:t>
            </w:r>
            <w:r w:rsidR="00CF1AB3" w:rsidRPr="00454CEC">
              <w:t xml:space="preserve">Considerado que a OS esteve paralisada por </w:t>
            </w:r>
            <w:r w:rsidR="00CF1AB3">
              <w:t>16</w:t>
            </w:r>
            <w:r w:rsidR="00CF1AB3" w:rsidRPr="00454CEC">
              <w:t xml:space="preserve"> dias, entre os dias </w:t>
            </w:r>
            <w:r w:rsidR="00CF1AB3">
              <w:t>04</w:t>
            </w:r>
            <w:r w:rsidR="00CF1AB3" w:rsidRPr="00454CEC">
              <w:t>/0</w:t>
            </w:r>
            <w:r w:rsidR="00CF1AB3">
              <w:t>8</w:t>
            </w:r>
            <w:r w:rsidR="00CF1AB3" w:rsidRPr="00454CEC">
              <w:t xml:space="preserve"> e </w:t>
            </w:r>
            <w:r w:rsidR="00CF1AB3">
              <w:t>1</w:t>
            </w:r>
            <w:r w:rsidR="00CF1AB3" w:rsidRPr="00454CEC">
              <w:t>9/08 por alteração em caso de uso.</w:t>
            </w:r>
          </w:p>
        </w:tc>
        <w:tc>
          <w:tcPr>
            <w:tcW w:w="2835" w:type="dxa"/>
          </w:tcPr>
          <w:p w:rsidR="009129A3" w:rsidRPr="00DF177C" w:rsidRDefault="009129A3" w:rsidP="009129A3">
            <w:pPr>
              <w:spacing w:after="0"/>
            </w:pPr>
            <w:r w:rsidRPr="00DF177C">
              <w:t>CIAT - João Paulo</w:t>
            </w:r>
          </w:p>
        </w:tc>
      </w:tr>
      <w:tr w:rsidR="006B4CAC" w:rsidTr="00976000">
        <w:tc>
          <w:tcPr>
            <w:tcW w:w="1134" w:type="dxa"/>
          </w:tcPr>
          <w:p w:rsidR="006B4CAC" w:rsidRDefault="006B4CAC" w:rsidP="006B4CAC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6B4CAC" w:rsidRPr="00DF177C" w:rsidRDefault="006B4CAC" w:rsidP="006B4CAC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6B4CAC" w:rsidRDefault="006B4CAC" w:rsidP="006B4CAC">
            <w:pPr>
              <w:spacing w:after="0"/>
            </w:pPr>
            <w:r w:rsidRPr="008C4DE7">
              <w:t>NTC - Rodrigo Borges</w:t>
            </w:r>
          </w:p>
        </w:tc>
      </w:tr>
      <w:tr w:rsidR="0053612F" w:rsidTr="00976000">
        <w:tc>
          <w:tcPr>
            <w:tcW w:w="1134" w:type="dxa"/>
          </w:tcPr>
          <w:p w:rsidR="0053612F" w:rsidRDefault="0053612F" w:rsidP="0053612F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53612F" w:rsidRDefault="0053612F" w:rsidP="0053612F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53612F" w:rsidRDefault="0053612F" w:rsidP="0053612F">
            <w:pPr>
              <w:spacing w:after="0"/>
            </w:pPr>
            <w:r w:rsidRPr="006617BF">
              <w:t>CIAT - João Paulo</w:t>
            </w:r>
          </w:p>
        </w:tc>
      </w:tr>
      <w:tr w:rsidR="0000187B" w:rsidTr="00976000">
        <w:tc>
          <w:tcPr>
            <w:tcW w:w="1134" w:type="dxa"/>
          </w:tcPr>
          <w:p w:rsidR="0000187B" w:rsidRDefault="0000187B" w:rsidP="0000187B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00187B" w:rsidRDefault="0000187B" w:rsidP="0000187B">
            <w:pPr>
              <w:spacing w:after="0"/>
            </w:pPr>
            <w:r w:rsidRPr="0000187B">
              <w:t>OS Devolvida, por ter sido encontrados 12 Inconformidade durantes o Ciclo de Testes da Versão 1.6.1, sendo 8 Não Graves e 4 Graves. As inconformidades estão relacionadas no Mantis. Conforme OS 4782 - Relatório de Ciclo de Testes, no diretório 00_GESTAO_GERAL\ 05_ORDEM_SERVICO\05_OS4782\02_TESTES.</w:t>
            </w:r>
          </w:p>
          <w:p w:rsidR="00CF1AB3" w:rsidRPr="00847E4F" w:rsidRDefault="00CF1AB3" w:rsidP="0000187B">
            <w:pPr>
              <w:spacing w:after="0"/>
            </w:pPr>
            <w:r w:rsidRPr="000E03DC">
              <w:t xml:space="preserve">Acréscimo de </w:t>
            </w:r>
            <w:r>
              <w:t>mais</w:t>
            </w:r>
            <w:r w:rsidRPr="00966CD5">
              <w:t xml:space="preserve"> </w:t>
            </w:r>
            <w:r>
              <w:t>29</w:t>
            </w:r>
            <w:r w:rsidRPr="00966CD5">
              <w:t xml:space="preserve"> dias, entre os dias </w:t>
            </w:r>
            <w:r>
              <w:t>15</w:t>
            </w:r>
            <w:r w:rsidRPr="00966CD5">
              <w:t>/0</w:t>
            </w:r>
            <w:r>
              <w:t>9</w:t>
            </w:r>
            <w:r w:rsidRPr="00966CD5">
              <w:t xml:space="preserve"> e </w:t>
            </w:r>
            <w:r>
              <w:t>13</w:t>
            </w:r>
            <w:r w:rsidRPr="00966CD5">
              <w:t>/</w:t>
            </w:r>
            <w:r>
              <w:t>10</w:t>
            </w:r>
            <w:r w:rsidRPr="00966CD5">
              <w:t xml:space="preserve"> por </w:t>
            </w:r>
            <w:r>
              <w:t>demora para execução do ciclo de testes.</w:t>
            </w:r>
          </w:p>
        </w:tc>
        <w:tc>
          <w:tcPr>
            <w:tcW w:w="2835" w:type="dxa"/>
          </w:tcPr>
          <w:p w:rsidR="0000187B" w:rsidRDefault="0000187B" w:rsidP="0000187B">
            <w:pPr>
              <w:spacing w:after="0"/>
            </w:pPr>
            <w:r w:rsidRPr="006617BF">
              <w:t>CIAT - João Paulo</w:t>
            </w:r>
          </w:p>
        </w:tc>
      </w:tr>
      <w:tr w:rsidR="009B1A0D" w:rsidTr="00976000">
        <w:tc>
          <w:tcPr>
            <w:tcW w:w="1134" w:type="dxa"/>
          </w:tcPr>
          <w:p w:rsidR="009B1A0D" w:rsidRDefault="009B1A0D" w:rsidP="0000187B">
            <w:pPr>
              <w:spacing w:after="0"/>
              <w:jc w:val="center"/>
            </w:pPr>
            <w:r>
              <w:t>14/10/16</w:t>
            </w:r>
          </w:p>
        </w:tc>
        <w:tc>
          <w:tcPr>
            <w:tcW w:w="5102" w:type="dxa"/>
          </w:tcPr>
          <w:p w:rsidR="009B1A0D" w:rsidRPr="0000187B" w:rsidRDefault="009B1A0D" w:rsidP="009B1A0D">
            <w:pPr>
              <w:spacing w:after="0"/>
            </w:pPr>
            <w:r w:rsidRPr="009B1A0D">
              <w:t>Foram corrigidos e liberados os seguintes erros graves: 271, 297, 289. O erro 270 foi retornado.</w:t>
            </w:r>
          </w:p>
        </w:tc>
        <w:tc>
          <w:tcPr>
            <w:tcW w:w="2835" w:type="dxa"/>
          </w:tcPr>
          <w:p w:rsidR="009B1A0D" w:rsidRPr="006617BF" w:rsidRDefault="009B1A0D" w:rsidP="0000187B">
            <w:pPr>
              <w:spacing w:after="0"/>
            </w:pPr>
            <w:r w:rsidRPr="008C4DE7">
              <w:t>NTC - Rodrigo Borges</w:t>
            </w:r>
          </w:p>
        </w:tc>
      </w:tr>
      <w:tr w:rsidR="00FD1DD9" w:rsidTr="00976000">
        <w:tc>
          <w:tcPr>
            <w:tcW w:w="1134" w:type="dxa"/>
          </w:tcPr>
          <w:p w:rsidR="00FD1DD9" w:rsidRDefault="00FD1DD9" w:rsidP="00FD1DD9">
            <w:pPr>
              <w:spacing w:after="0"/>
              <w:jc w:val="center"/>
            </w:pPr>
            <w:r>
              <w:t>17/10/16</w:t>
            </w:r>
          </w:p>
        </w:tc>
        <w:tc>
          <w:tcPr>
            <w:tcW w:w="5102" w:type="dxa"/>
          </w:tcPr>
          <w:p w:rsidR="00FD1DD9" w:rsidRPr="009B1A0D" w:rsidRDefault="00FD1DD9" w:rsidP="00FD1DD9">
            <w:pPr>
              <w:spacing w:after="0"/>
            </w:pPr>
            <w:r w:rsidRPr="00FD1DD9">
              <w:t>Foram corrigidos e liberados os seguintes erros não graves: 267, 265, 263, 269, 295, 276, 268, 296. Já os erros graves: 270</w:t>
            </w:r>
            <w:r w:rsidR="005C3A84">
              <w:t xml:space="preserve"> e </w:t>
            </w:r>
            <w:r w:rsidRPr="00FD1DD9">
              <w:t>271 fo</w:t>
            </w:r>
            <w:r w:rsidR="005C3A84">
              <w:t>ram</w:t>
            </w:r>
            <w:r w:rsidRPr="00FD1DD9">
              <w:t xml:space="preserve"> retornados.</w:t>
            </w:r>
          </w:p>
        </w:tc>
        <w:tc>
          <w:tcPr>
            <w:tcW w:w="2835" w:type="dxa"/>
          </w:tcPr>
          <w:p w:rsidR="00FD1DD9" w:rsidRPr="006617BF" w:rsidRDefault="00FD1DD9" w:rsidP="00FD1DD9">
            <w:pPr>
              <w:spacing w:after="0"/>
            </w:pPr>
            <w:r w:rsidRPr="008C4DE7">
              <w:t>NTC - Rodrigo Borges</w:t>
            </w:r>
          </w:p>
        </w:tc>
      </w:tr>
      <w:tr w:rsidR="00B64EE5" w:rsidTr="00976000">
        <w:tc>
          <w:tcPr>
            <w:tcW w:w="1134" w:type="dxa"/>
          </w:tcPr>
          <w:p w:rsidR="00B64EE5" w:rsidRDefault="00B64EE5" w:rsidP="00B64EE5">
            <w:pPr>
              <w:spacing w:after="0"/>
              <w:jc w:val="center"/>
            </w:pPr>
            <w:r>
              <w:t>01/11/16</w:t>
            </w:r>
          </w:p>
        </w:tc>
        <w:tc>
          <w:tcPr>
            <w:tcW w:w="5102" w:type="dxa"/>
          </w:tcPr>
          <w:p w:rsidR="00B64EE5" w:rsidRPr="00FD1DD9" w:rsidRDefault="00B64EE5" w:rsidP="00B64EE5">
            <w:pPr>
              <w:spacing w:after="0"/>
            </w:pPr>
            <w:r w:rsidRPr="00B64EE5">
              <w:t>Devolução da OS por inconformidades não corrigidas na versão 1.6.7 de 17/10/2016. As inconformidades não corrigidas foram: 269, 270 e 289.</w:t>
            </w:r>
          </w:p>
        </w:tc>
        <w:tc>
          <w:tcPr>
            <w:tcW w:w="2835" w:type="dxa"/>
          </w:tcPr>
          <w:p w:rsidR="00B64EE5" w:rsidRDefault="00B64EE5" w:rsidP="00B64EE5">
            <w:pPr>
              <w:spacing w:after="0"/>
            </w:pPr>
            <w:r w:rsidRPr="006617BF">
              <w:t>CIAT - João Paulo</w:t>
            </w:r>
          </w:p>
        </w:tc>
      </w:tr>
      <w:tr w:rsidR="00912D74" w:rsidTr="00976000">
        <w:tc>
          <w:tcPr>
            <w:tcW w:w="1134" w:type="dxa"/>
          </w:tcPr>
          <w:p w:rsidR="00912D74" w:rsidRDefault="00912D74" w:rsidP="00912D74">
            <w:pPr>
              <w:spacing w:after="0"/>
              <w:jc w:val="center"/>
            </w:pPr>
            <w:r>
              <w:t>05/11/16</w:t>
            </w:r>
          </w:p>
        </w:tc>
        <w:tc>
          <w:tcPr>
            <w:tcW w:w="5102" w:type="dxa"/>
          </w:tcPr>
          <w:p w:rsidR="00912D74" w:rsidRPr="009B1A0D" w:rsidRDefault="00912D74" w:rsidP="00912D74">
            <w:pPr>
              <w:spacing w:after="0"/>
            </w:pPr>
            <w:r w:rsidRPr="00912D74">
              <w:t>Entrega da OS, os mantis 270 e 289 foram retornados, e o mantis 269 foi corrigido e disponibilizado.</w:t>
            </w:r>
            <w:bookmarkStart w:id="0" w:name="_GoBack"/>
            <w:bookmarkEnd w:id="0"/>
          </w:p>
        </w:tc>
        <w:tc>
          <w:tcPr>
            <w:tcW w:w="2835" w:type="dxa"/>
          </w:tcPr>
          <w:p w:rsidR="00912D74" w:rsidRPr="006617BF" w:rsidRDefault="00912D74" w:rsidP="00912D74">
            <w:pPr>
              <w:spacing w:after="0"/>
            </w:pPr>
            <w:r w:rsidRPr="008C4DE7">
              <w:t>NTC - 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632"/>
        <w:gridCol w:w="1278"/>
        <w:gridCol w:w="1682"/>
        <w:gridCol w:w="2240"/>
        <w:gridCol w:w="2240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0702C4">
        <w:tc>
          <w:tcPr>
            <w:tcW w:w="1632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27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682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40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40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CF1AB3">
        <w:tc>
          <w:tcPr>
            <w:tcW w:w="1632" w:type="dxa"/>
            <w:shd w:val="clear" w:color="auto" w:fill="auto"/>
            <w:vAlign w:val="center"/>
          </w:tcPr>
          <w:p w:rsidR="00030A90" w:rsidRDefault="00030A90" w:rsidP="00CF1AB3">
            <w:pPr>
              <w:spacing w:after="0"/>
              <w:jc w:val="center"/>
            </w:pPr>
            <w:r>
              <w:t>CIAT</w:t>
            </w:r>
          </w:p>
          <w:p w:rsidR="003A27BF" w:rsidRPr="00F627C4" w:rsidRDefault="00030A90" w:rsidP="00CF1AB3">
            <w:pPr>
              <w:spacing w:after="0"/>
              <w:jc w:val="center"/>
              <w:rPr>
                <w:b/>
              </w:rPr>
            </w:pPr>
            <w:r>
              <w:t>Versão 1.6.1</w:t>
            </w:r>
          </w:p>
        </w:tc>
        <w:tc>
          <w:tcPr>
            <w:tcW w:w="1278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t>27/09/2016</w:t>
            </w:r>
          </w:p>
        </w:tc>
        <w:tc>
          <w:tcPr>
            <w:tcW w:w="1682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t>07/10/2016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40" w:type="dxa"/>
            <w:shd w:val="clear" w:color="auto" w:fill="auto"/>
            <w:vAlign w:val="center"/>
          </w:tcPr>
          <w:p w:rsidR="003A27BF" w:rsidRPr="00F627C4" w:rsidRDefault="000702C4" w:rsidP="00CF1AB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0702C4" w:rsidRPr="00F627C4" w:rsidTr="00CF1AB3">
        <w:tc>
          <w:tcPr>
            <w:tcW w:w="1632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1278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1682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</w:pPr>
          </w:p>
        </w:tc>
        <w:tc>
          <w:tcPr>
            <w:tcW w:w="2240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40" w:type="dxa"/>
            <w:shd w:val="clear" w:color="auto" w:fill="auto"/>
            <w:vAlign w:val="center"/>
          </w:tcPr>
          <w:p w:rsidR="000702C4" w:rsidRDefault="000702C4" w:rsidP="00CF1AB3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53612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F1AB3">
              <w:rPr>
                <w:b/>
              </w:rPr>
              <w:t>3</w:t>
            </w:r>
            <w:r w:rsidR="003A27BF">
              <w:rPr>
                <w:b/>
              </w:rPr>
              <w:t>,</w:t>
            </w:r>
            <w:r w:rsidR="00CF1AB3"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CF1AB3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  <w:r w:rsidR="003A27BF">
              <w:rPr>
                <w:b/>
                <w:szCs w:val="20"/>
              </w:rPr>
              <w:t>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D976D6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D976D6">
              <w:rPr>
                <w:b/>
                <w:szCs w:val="20"/>
              </w:rPr>
              <w:t>5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8273E6" w:rsidP="00DC0F19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  <w:r w:rsidR="00DC0F19">
              <w:rPr>
                <w:b/>
                <w:szCs w:val="20"/>
              </w:rPr>
              <w:t>3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2C5766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2C5766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2C5766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D976D6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33</w:t>
            </w:r>
            <w:r w:rsidR="003A27BF">
              <w:rPr>
                <w:b/>
              </w:rPr>
              <w:t>,</w:t>
            </w:r>
            <w:r>
              <w:rPr>
                <w:b/>
              </w:rPr>
              <w:t>3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Pr="00B51A24" w:rsidRDefault="003A27BF" w:rsidP="00B51A24">
      <w:pPr>
        <w:spacing w:after="0"/>
        <w:rPr>
          <w:sz w:val="16"/>
          <w:szCs w:val="16"/>
        </w:rPr>
      </w:pPr>
      <w:r>
        <w:rPr>
          <w:b/>
          <w:sz w:val="24"/>
          <w:szCs w:val="24"/>
        </w:rPr>
        <w:t>Justificativas e Observações:</w:t>
      </w:r>
    </w:p>
    <w:p w:rsidR="003A27BF" w:rsidRDefault="003A27BF" w:rsidP="003A27BF"/>
    <w:p w:rsidR="00CF1AB3" w:rsidRDefault="00B10ACF" w:rsidP="00CF1AB3">
      <w:pPr>
        <w:jc w:val="both"/>
      </w:pPr>
      <w:r w:rsidRPr="00454CEC">
        <w:t xml:space="preserve">Considerado que a OS esteve paralisada por </w:t>
      </w:r>
      <w:r>
        <w:t>16</w:t>
      </w:r>
      <w:r w:rsidRPr="00454CEC">
        <w:t xml:space="preserve"> dias, entre os dias </w:t>
      </w:r>
      <w:r>
        <w:t>04</w:t>
      </w:r>
      <w:r w:rsidRPr="00454CEC">
        <w:t>/0</w:t>
      </w:r>
      <w:r>
        <w:t>8</w:t>
      </w:r>
      <w:r w:rsidRPr="00454CEC">
        <w:t xml:space="preserve"> e </w:t>
      </w:r>
      <w:r>
        <w:t>1</w:t>
      </w:r>
      <w:r w:rsidRPr="00454CEC">
        <w:t>9/08 por alteração em caso de uso.</w:t>
      </w:r>
      <w:r w:rsidR="00CF1AB3">
        <w:t xml:space="preserve"> </w:t>
      </w:r>
      <w:r w:rsidR="00CF1AB3" w:rsidRPr="000E03DC">
        <w:t xml:space="preserve">Acréscimo de </w:t>
      </w:r>
      <w:r w:rsidR="00CF1AB3">
        <w:t>mais</w:t>
      </w:r>
      <w:r w:rsidR="00CF1AB3" w:rsidRPr="00966CD5">
        <w:t xml:space="preserve"> </w:t>
      </w:r>
      <w:r w:rsidR="00CF1AB3">
        <w:t>29</w:t>
      </w:r>
      <w:r w:rsidR="00CF1AB3" w:rsidRPr="00966CD5">
        <w:t xml:space="preserve"> dias, entre os dias </w:t>
      </w:r>
      <w:r w:rsidR="00CF1AB3">
        <w:t>15</w:t>
      </w:r>
      <w:r w:rsidR="00CF1AB3" w:rsidRPr="00966CD5">
        <w:t>/0</w:t>
      </w:r>
      <w:r w:rsidR="00CF1AB3">
        <w:t>9</w:t>
      </w:r>
      <w:r w:rsidR="00CF1AB3" w:rsidRPr="00966CD5">
        <w:t xml:space="preserve"> e </w:t>
      </w:r>
      <w:r w:rsidR="00CF1AB3">
        <w:t>13</w:t>
      </w:r>
      <w:r w:rsidR="00CF1AB3" w:rsidRPr="00966CD5">
        <w:t>/</w:t>
      </w:r>
      <w:r w:rsidR="00CF1AB3">
        <w:t>10</w:t>
      </w:r>
      <w:r w:rsidR="00CF1AB3" w:rsidRPr="00966CD5">
        <w:t xml:space="preserve"> por </w:t>
      </w:r>
      <w:r w:rsidR="00CF1AB3">
        <w:t xml:space="preserve">demora para execução do ciclo de testes. </w:t>
      </w:r>
      <w:r w:rsidR="00CF1AB3" w:rsidRPr="00966CD5">
        <w:t xml:space="preserve">Totalizando </w:t>
      </w:r>
      <w:r w:rsidR="00CF1AB3">
        <w:t>45</w:t>
      </w:r>
      <w:r w:rsidR="00CF1AB3" w:rsidRPr="00966CD5">
        <w:t xml:space="preserve"> dias corridos de </w:t>
      </w:r>
      <w:r w:rsidR="00CF1AB3">
        <w:t>acréscimo</w:t>
      </w:r>
      <w:r w:rsidR="00CF1AB3" w:rsidRPr="00966CD5">
        <w:t>.</w:t>
      </w:r>
    </w:p>
    <w:p w:rsidR="00B10ACF" w:rsidRDefault="00B10ACF" w:rsidP="00B10ACF">
      <w:pPr>
        <w:jc w:val="both"/>
      </w:pPr>
      <w:r w:rsidRPr="00B10ACF">
        <w:t>A contagem final revisada passou de 153 PF para 160 PF devido a inclusão de um “ALI” com os “Dados de Atribuição dos perfis a usuários”, onde são armazenadas as informações ge</w:t>
      </w:r>
      <w:r>
        <w:t>radas no caso de uso em questão.</w:t>
      </w:r>
    </w:p>
    <w:p w:rsidR="00B10ACF" w:rsidRPr="00E72234" w:rsidRDefault="00B10AC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0DB" w:rsidRDefault="00E660DB" w:rsidP="00924102">
      <w:r>
        <w:separator/>
      </w:r>
    </w:p>
  </w:endnote>
  <w:endnote w:type="continuationSeparator" w:id="0">
    <w:p w:rsidR="00E660DB" w:rsidRDefault="00E660DB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1D1238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12D7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E660DB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9863458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0DB" w:rsidRDefault="00E660DB" w:rsidP="00924102">
      <w:r>
        <w:separator/>
      </w:r>
    </w:p>
  </w:footnote>
  <w:footnote w:type="continuationSeparator" w:id="0">
    <w:p w:rsidR="00E660DB" w:rsidRDefault="00E660DB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187B"/>
    <w:rsid w:val="00026C9D"/>
    <w:rsid w:val="00030A90"/>
    <w:rsid w:val="00040AF7"/>
    <w:rsid w:val="000702C4"/>
    <w:rsid w:val="000976BB"/>
    <w:rsid w:val="000A2281"/>
    <w:rsid w:val="00167DC0"/>
    <w:rsid w:val="001B1F85"/>
    <w:rsid w:val="001C32F2"/>
    <w:rsid w:val="001D1238"/>
    <w:rsid w:val="00297376"/>
    <w:rsid w:val="002A16EE"/>
    <w:rsid w:val="002C5766"/>
    <w:rsid w:val="00361C62"/>
    <w:rsid w:val="0037400D"/>
    <w:rsid w:val="00385638"/>
    <w:rsid w:val="003A27BF"/>
    <w:rsid w:val="0043338A"/>
    <w:rsid w:val="00480E00"/>
    <w:rsid w:val="00494821"/>
    <w:rsid w:val="004E669A"/>
    <w:rsid w:val="0053612F"/>
    <w:rsid w:val="005A63C9"/>
    <w:rsid w:val="005C3A84"/>
    <w:rsid w:val="006741C1"/>
    <w:rsid w:val="006B41DA"/>
    <w:rsid w:val="006B4CAC"/>
    <w:rsid w:val="00710BCA"/>
    <w:rsid w:val="00720472"/>
    <w:rsid w:val="007D2016"/>
    <w:rsid w:val="007D2D08"/>
    <w:rsid w:val="007F26E7"/>
    <w:rsid w:val="00800B58"/>
    <w:rsid w:val="008273E6"/>
    <w:rsid w:val="008A4D56"/>
    <w:rsid w:val="008C4DE7"/>
    <w:rsid w:val="00903DAF"/>
    <w:rsid w:val="009129A3"/>
    <w:rsid w:val="00912D74"/>
    <w:rsid w:val="00924102"/>
    <w:rsid w:val="00960027"/>
    <w:rsid w:val="009B1A0D"/>
    <w:rsid w:val="009E710D"/>
    <w:rsid w:val="009E7CDC"/>
    <w:rsid w:val="009F447B"/>
    <w:rsid w:val="00A00226"/>
    <w:rsid w:val="00A110D9"/>
    <w:rsid w:val="00A97376"/>
    <w:rsid w:val="00AA504D"/>
    <w:rsid w:val="00AE30CA"/>
    <w:rsid w:val="00AF0EC7"/>
    <w:rsid w:val="00B10ACF"/>
    <w:rsid w:val="00B42F28"/>
    <w:rsid w:val="00B51A24"/>
    <w:rsid w:val="00B64EE5"/>
    <w:rsid w:val="00C37C6C"/>
    <w:rsid w:val="00CD6883"/>
    <w:rsid w:val="00CF1AB3"/>
    <w:rsid w:val="00D84134"/>
    <w:rsid w:val="00D976D6"/>
    <w:rsid w:val="00DC0F19"/>
    <w:rsid w:val="00DD2860"/>
    <w:rsid w:val="00DD2F70"/>
    <w:rsid w:val="00DD3702"/>
    <w:rsid w:val="00E3617F"/>
    <w:rsid w:val="00E660DB"/>
    <w:rsid w:val="00E74325"/>
    <w:rsid w:val="00E8210E"/>
    <w:rsid w:val="00EA0773"/>
    <w:rsid w:val="00EB0028"/>
    <w:rsid w:val="00F55A2C"/>
    <w:rsid w:val="00FC17C4"/>
    <w:rsid w:val="00FD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59359A8-CA13-4BDD-99E9-E815C109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826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Rodrigo Borges</cp:lastModifiedBy>
  <cp:revision>31</cp:revision>
  <dcterms:created xsi:type="dcterms:W3CDTF">2016-06-08T14:57:00Z</dcterms:created>
  <dcterms:modified xsi:type="dcterms:W3CDTF">2016-11-05T17:05:00Z</dcterms:modified>
</cp:coreProperties>
</file>