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7D7DF690" w:rsidR="001F108F" w:rsidRPr="001B4919" w:rsidRDefault="00396632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23</w:t>
      </w:r>
      <w:r w:rsidR="00140ED8">
        <w:rPr>
          <w:snapToGrid/>
          <w:sz w:val="22"/>
          <w:szCs w:val="22"/>
          <w:lang w:val="pt-BR" w:eastAsia="ja-JP"/>
        </w:rPr>
        <w:t>/08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snapToGrid/>
                <w:sz w:val="22"/>
                <w:szCs w:val="22"/>
                <w:lang w:val="pt-BR" w:eastAsia="ja-JP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396632" w:rsidRPr="00396632" w14:paraId="73D0B36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79FF" w14:textId="6BAC6983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E35" w14:textId="21376A50" w:rsidR="00396632" w:rsidRDefault="00396632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- Mantis 155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25ED" w14:textId="65F647D1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  <w:bookmarkStart w:id="0" w:name="_GoBack"/>
            <w:bookmarkEnd w:id="0"/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396632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396632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765BC00C" w14:textId="77777777" w:rsidR="00872880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55670459" w:history="1">
        <w:r w:rsidR="00872880" w:rsidRPr="00DB1A25">
          <w:rPr>
            <w:rStyle w:val="Hyperlink"/>
            <w:noProof/>
            <w:lang w:val="pt-BR"/>
          </w:rPr>
          <w:t>1.</w:t>
        </w:r>
        <w:r w:rsidR="008728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ECFUC0904 – Parametrizar processamento do Agente Digital Fiscal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_Toc455670459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38E38093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0" w:history="1">
        <w:r w:rsidR="00872880" w:rsidRPr="00DB1A25">
          <w:rPr>
            <w:rStyle w:val="Hyperlink"/>
            <w:noProof/>
            <w:lang w:val="pt-BR"/>
          </w:rPr>
          <w:t>1.1.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Descrição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_Toc455670460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0AC856C1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1" w:history="1">
        <w:r w:rsidR="00872880" w:rsidRPr="00DB1A25">
          <w:rPr>
            <w:rStyle w:val="Hyperlink"/>
            <w:noProof/>
            <w:lang w:val="pt-BR"/>
          </w:rPr>
          <w:t>1.2.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Atores Envolvidos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_Toc455670461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42B4EB4D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2" w:history="1">
        <w:r w:rsidR="00872880" w:rsidRPr="00DB1A25">
          <w:rPr>
            <w:rStyle w:val="Hyperlink"/>
            <w:noProof/>
            <w:lang w:val="pt-BR"/>
          </w:rPr>
          <w:t>1.3.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Diagrama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_Toc455670462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31B3C3DD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3" w:history="1">
        <w:r w:rsidR="00872880" w:rsidRPr="00DB1A25">
          <w:rPr>
            <w:rStyle w:val="Hyperlink"/>
            <w:noProof/>
            <w:lang w:val="pt-BR"/>
          </w:rPr>
          <w:t>1.4.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Pré-condições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_Toc455670463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586DB56C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4" w:history="1">
        <w:r w:rsidR="00872880" w:rsidRPr="00DB1A25">
          <w:rPr>
            <w:rStyle w:val="Hyperlink"/>
            <w:noProof/>
            <w:lang w:val="pt-BR"/>
          </w:rPr>
          <w:t>1.5.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Fluxo Principal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_Toc455670464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5</w:t>
        </w:r>
        <w:r w:rsidR="00872880">
          <w:rPr>
            <w:noProof/>
            <w:webHidden/>
          </w:rPr>
          <w:fldChar w:fldCharType="end"/>
        </w:r>
      </w:hyperlink>
    </w:p>
    <w:p w14:paraId="03D5DCA9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5" w:history="1">
        <w:r w:rsidR="00872880" w:rsidRPr="00DB1A25">
          <w:rPr>
            <w:rStyle w:val="Hyperlink"/>
            <w:noProof/>
            <w:lang w:val="pt-BR"/>
          </w:rPr>
          <w:t>1.6.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Fluxos Alternativos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_Toc455670465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6</w:t>
        </w:r>
        <w:r w:rsidR="00872880">
          <w:rPr>
            <w:noProof/>
            <w:webHidden/>
          </w:rPr>
          <w:fldChar w:fldCharType="end"/>
        </w:r>
      </w:hyperlink>
    </w:p>
    <w:p w14:paraId="3E7EEC80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6" w:history="1">
        <w:r w:rsidR="00872880" w:rsidRPr="00DB1A25">
          <w:rPr>
            <w:rStyle w:val="Hyperlink"/>
            <w:noProof/>
            <w:lang w:val="pt-BR"/>
          </w:rPr>
          <w:t>1.7.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Fluxos de Exceção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_Toc455670466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2643D1AE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7" w:history="1">
        <w:r w:rsidR="00872880" w:rsidRPr="00DB1A25">
          <w:rPr>
            <w:rStyle w:val="Hyperlink"/>
            <w:noProof/>
            <w:lang w:val="pt-BR"/>
          </w:rPr>
          <w:t>1.8.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Pós-condição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_Toc455670467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12CFB843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8" w:history="1">
        <w:r w:rsidR="00872880" w:rsidRPr="00DB1A25">
          <w:rPr>
            <w:rStyle w:val="Hyperlink"/>
            <w:noProof/>
            <w:lang w:val="pt-BR"/>
          </w:rPr>
          <w:t>1.9.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Requisitos Especiais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_Toc455670468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45DC90B8" w14:textId="77777777" w:rsidR="00872880" w:rsidRDefault="00864146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670469" w:history="1">
        <w:r w:rsidR="00872880" w:rsidRPr="00DB1A25">
          <w:rPr>
            <w:rStyle w:val="Hyperlink"/>
            <w:noProof/>
            <w:lang w:val="pt-BR"/>
          </w:rPr>
          <w:t>1.10.</w:t>
        </w:r>
        <w:r w:rsidR="00872880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72880" w:rsidRPr="00DB1A25">
          <w:rPr>
            <w:rStyle w:val="Hyperlink"/>
            <w:noProof/>
            <w:lang w:val="pt-BR"/>
          </w:rPr>
          <w:t>Layout das Páginas de Entrada ou Saída</w:t>
        </w:r>
        <w:r w:rsidR="00872880">
          <w:rPr>
            <w:noProof/>
            <w:webHidden/>
          </w:rPr>
          <w:tab/>
        </w:r>
        <w:r w:rsidR="00872880">
          <w:rPr>
            <w:noProof/>
            <w:webHidden/>
          </w:rPr>
          <w:fldChar w:fldCharType="begin"/>
        </w:r>
        <w:r w:rsidR="00872880">
          <w:rPr>
            <w:noProof/>
            <w:webHidden/>
          </w:rPr>
          <w:instrText xml:space="preserve"> PAGEREF _Toc455670469 \h </w:instrText>
        </w:r>
        <w:r w:rsidR="00872880">
          <w:rPr>
            <w:noProof/>
            <w:webHidden/>
          </w:rPr>
        </w:r>
        <w:r w:rsidR="00872880">
          <w:rPr>
            <w:noProof/>
            <w:webHidden/>
          </w:rPr>
          <w:fldChar w:fldCharType="separate"/>
        </w:r>
        <w:r w:rsidR="00872880">
          <w:rPr>
            <w:noProof/>
            <w:webHidden/>
          </w:rPr>
          <w:t>8</w:t>
        </w:r>
        <w:r w:rsidR="00872880"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872880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55670459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55670460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55670461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55670462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55670463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670464"/>
      <w:bookmarkStart w:id="15" w:name="_Toc43620338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4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29EC7912" w14:textId="77777777" w:rsidR="001B4919" w:rsidRPr="001B4919" w:rsidRDefault="001B4919" w:rsidP="00F4465F">
      <w:pPr>
        <w:pStyle w:val="Passos"/>
        <w:ind w:left="1069"/>
        <w:jc w:val="both"/>
      </w:pPr>
      <w:r w:rsidRPr="001B4919">
        <w:t>A6. O ator opta por “Sair”;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DB3BE3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lastRenderedPageBreak/>
        <w:t>O ator altera os dados apresentados;</w:t>
      </w:r>
      <w:bookmarkEnd w:id="18"/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777777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6BFD740E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455670465"/>
      <w:bookmarkStart w:id="21" w:name="_Toc100995325"/>
      <w:bookmarkStart w:id="22" w:name="_Toc114038718"/>
      <w:r w:rsidRPr="001B4919">
        <w:rPr>
          <w:lang w:val="pt-BR"/>
        </w:rPr>
        <w:t>Fluxos Alternativos</w:t>
      </w:r>
      <w:bookmarkEnd w:id="19"/>
      <w:bookmarkEnd w:id="20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42697F74" w14:textId="3E99CAEA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 w:rsidR="00A142BF">
        <w:t>ECF</w:t>
      </w:r>
      <w:r w:rsidRPr="001B4919">
        <w:t>UC0904PG002;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7DDB78E4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apresenta os períodos complementares deste contribuinte encontrados;</w:t>
      </w:r>
    </w:p>
    <w:p w14:paraId="67B9B4A4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ator solicita a geração de nova senha;</w:t>
      </w:r>
    </w:p>
    <w:p w14:paraId="5A53F47B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lastRenderedPageBreak/>
        <w:t xml:space="preserve">O sistema limpa a data </w:t>
      </w:r>
      <w:r w:rsidR="00D93628" w:rsidRPr="001B4919">
        <w:t>de geração de nova senha;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045ADC8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Pr="001B4919">
        <w:t xml:space="preserve"> com a data atual e limpa a data de recepção;</w:t>
      </w:r>
    </w:p>
    <w:p w14:paraId="31988032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mantem a tabela de períodos complementares:</w:t>
      </w:r>
    </w:p>
    <w:p w14:paraId="427ADA1A" w14:textId="77777777" w:rsidR="00893EA6" w:rsidRPr="001B4919" w:rsidRDefault="008539BF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marca a data da solicitação para os períodos que devem ser </w:t>
      </w:r>
      <w:r w:rsidR="00AE285C" w:rsidRPr="001B4919">
        <w:t>enviados e anula estas datas para os períodos que não devem ser enviados pelo ADF;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cria ou atualiza as informações ingressadas;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27C07BC9" w14:textId="2CC2D0B0" w:rsidR="00646A70" w:rsidRDefault="00646A70" w:rsidP="006D4772">
      <w:pPr>
        <w:pStyle w:val="Passos"/>
        <w:numPr>
          <w:ilvl w:val="0"/>
          <w:numId w:val="37"/>
        </w:numPr>
        <w:jc w:val="both"/>
      </w:pPr>
      <w:r>
        <w:t>O ator seleciona a opção Consultar Inscrição Estadual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t>E8. Inscrição Estadual inexistente no CCI;</w:t>
      </w:r>
    </w:p>
    <w:p w14:paraId="17CFA0F7" w14:textId="70D086B5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sistema lista os sequenciais de ECF existentes para esta IE</w:t>
      </w:r>
      <w:r w:rsidR="00646A70">
        <w:t xml:space="preserve"> na grid correspondente</w:t>
      </w:r>
      <w:r>
        <w:t>;</w:t>
      </w:r>
    </w:p>
    <w:p w14:paraId="0F6BA05B" w14:textId="25345FFD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um</w:t>
      </w:r>
      <w:r w:rsidR="00646A70">
        <w:t xml:space="preserve">a linha de um </w:t>
      </w:r>
      <w:r>
        <w:t>sequencial de ECF;</w:t>
      </w:r>
    </w:p>
    <w:p w14:paraId="36B5CA1A" w14:textId="64FEE0A0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a opção Consultar;</w:t>
      </w:r>
    </w:p>
    <w:p w14:paraId="2E1E861A" w14:textId="34BE375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</w:t>
      </w:r>
      <w:r w:rsidR="007A5ABC">
        <w:t xml:space="preserve">e sequencial </w:t>
      </w:r>
      <w:r w:rsidR="006130A1">
        <w:t xml:space="preserve">do equipamento ECF </w:t>
      </w:r>
      <w:r w:rsidR="007A5ABC">
        <w:t>desta</w:t>
      </w:r>
      <w:r w:rsidR="006130A1">
        <w:t xml:space="preserve"> IE;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872880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lastRenderedPageBreak/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782CA0F0" w14:textId="77777777" w:rsidR="001B4919" w:rsidRPr="001B4919" w:rsidRDefault="001B4919" w:rsidP="001B4919">
      <w:pPr>
        <w:pStyle w:val="Passos"/>
        <w:jc w:val="both"/>
        <w:rPr>
          <w:b/>
        </w:rPr>
      </w:pPr>
      <w:r w:rsidRPr="001B4919">
        <w:rPr>
          <w:b/>
        </w:rPr>
        <w:t>A6. O ator opta por “Sair”;</w:t>
      </w:r>
    </w:p>
    <w:p w14:paraId="63271930" w14:textId="77777777" w:rsidR="001B4919" w:rsidRPr="001B4919" w:rsidRDefault="001B4919" w:rsidP="001B4919">
      <w:pPr>
        <w:pStyle w:val="Passos"/>
        <w:jc w:val="both"/>
      </w:pPr>
      <w:r w:rsidRPr="001B4919">
        <w:t>1.  O sistema encerra o caso de uso;</w:t>
      </w:r>
    </w:p>
    <w:p w14:paraId="6DFE25F8" w14:textId="77777777" w:rsidR="001B4919" w:rsidRPr="001B4919" w:rsidRDefault="001B4919" w:rsidP="001B4919">
      <w:pPr>
        <w:pStyle w:val="Passos"/>
        <w:jc w:val="both"/>
      </w:pP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455670466"/>
      <w:bookmarkStart w:id="27" w:name="_Toc101248486"/>
      <w:bookmarkStart w:id="28" w:name="_Toc102377891"/>
      <w:bookmarkEnd w:id="15"/>
      <w:bookmarkEnd w:id="21"/>
      <w:bookmarkEnd w:id="22"/>
      <w:r w:rsidRPr="001B4919">
        <w:rPr>
          <w:lang w:val="pt-BR"/>
        </w:rPr>
        <w:t>Fluxos de Exceção</w:t>
      </w:r>
      <w:bookmarkEnd w:id="25"/>
      <w:bookmarkEnd w:id="26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872880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73577D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lastRenderedPageBreak/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55670467"/>
      <w:r w:rsidRPr="001B4919">
        <w:rPr>
          <w:lang w:val="pt-BR"/>
        </w:rPr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55670468"/>
      <w:bookmarkEnd w:id="27"/>
      <w:bookmarkEnd w:id="28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55670469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77777777" w:rsidR="005D672F" w:rsidRDefault="00B74201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3EA4B38" wp14:editId="1E546056">
            <wp:extent cx="8582025" cy="4131763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84939" cy="41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lastRenderedPageBreak/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77777777" w:rsidR="00161851" w:rsidRPr="001B4919" w:rsidRDefault="00D12410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600978A" wp14:editId="7FC249DE">
            <wp:extent cx="8162925" cy="39299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65697" cy="39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lastRenderedPageBreak/>
              <w:t>Data geração senha</w:t>
            </w:r>
          </w:p>
        </w:tc>
        <w:tc>
          <w:tcPr>
            <w:tcW w:w="3544" w:type="dxa"/>
          </w:tcPr>
          <w:p w14:paraId="7B12DA1A" w14:textId="77777777" w:rsidR="00B74201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7361D446" w14:textId="77777777" w:rsidTr="00C4564A">
        <w:trPr>
          <w:trHeight w:val="179"/>
        </w:trPr>
        <w:tc>
          <w:tcPr>
            <w:tcW w:w="3114" w:type="dxa"/>
          </w:tcPr>
          <w:p w14:paraId="246E0443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Recepção</w:t>
            </w:r>
          </w:p>
        </w:tc>
        <w:tc>
          <w:tcPr>
            <w:tcW w:w="3544" w:type="dxa"/>
          </w:tcPr>
          <w:p w14:paraId="2BA65230" w14:textId="77777777" w:rsidR="00C4564A" w:rsidRDefault="00C4564A" w:rsidP="0085246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6ABB8BB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4DAA7BD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C4564A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C4564A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011C5A73" w14:textId="77777777" w:rsidTr="0085246A">
        <w:trPr>
          <w:trHeight w:val="179"/>
        </w:trPr>
        <w:tc>
          <w:tcPr>
            <w:tcW w:w="3114" w:type="dxa"/>
          </w:tcPr>
          <w:p w14:paraId="382FA06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Recebido em</w:t>
            </w:r>
          </w:p>
        </w:tc>
        <w:tc>
          <w:tcPr>
            <w:tcW w:w="3544" w:type="dxa"/>
          </w:tcPr>
          <w:p w14:paraId="162A1AD7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5468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92C3C92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C4564A" w:rsidRDefault="00C4564A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C4564A" w:rsidRPr="00DC2483" w:rsidRDefault="00C4564A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C4564A" w:rsidRDefault="00C4564A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0AAE4CE1" w:rsidR="00003649" w:rsidRPr="001B4919" w:rsidRDefault="00646A70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BC804F7" wp14:editId="3A3C7A3A">
            <wp:extent cx="8839206" cy="5149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47025" cy="51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796"/>
        <w:gridCol w:w="1134"/>
        <w:gridCol w:w="1165"/>
      </w:tblGrid>
      <w:tr w:rsidR="00D12410" w:rsidRPr="001B4919" w14:paraId="684BE97F" w14:textId="77777777" w:rsidTr="007A5ABC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796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65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7A5ABC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796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165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7A5ABC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7A5ABC" w:rsidRPr="007A5ABC" w14:paraId="737BA90E" w14:textId="77777777" w:rsidTr="007A5ABC">
        <w:trPr>
          <w:trHeight w:val="179"/>
        </w:trPr>
        <w:tc>
          <w:tcPr>
            <w:tcW w:w="3114" w:type="dxa"/>
          </w:tcPr>
          <w:p w14:paraId="0D7E15D7" w14:textId="37C5A111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Sequencial do ECF</w:t>
            </w:r>
          </w:p>
        </w:tc>
        <w:tc>
          <w:tcPr>
            <w:tcW w:w="3796" w:type="dxa"/>
          </w:tcPr>
          <w:p w14:paraId="3918A0BD" w14:textId="70DD38BB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TA_AGENTE_DIGITAL_FISCAL.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Num_ECF_Equipamento</w:t>
            </w:r>
            <w:proofErr w:type="spellEnd"/>
          </w:p>
        </w:tc>
        <w:tc>
          <w:tcPr>
            <w:tcW w:w="1134" w:type="dxa"/>
          </w:tcPr>
          <w:p w14:paraId="00DB3F04" w14:textId="3639CE0E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0D3373" w14:textId="7F17DB6D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7A5ABC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Instalado por</w:t>
            </w:r>
          </w:p>
        </w:tc>
        <w:tc>
          <w:tcPr>
            <w:tcW w:w="3796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7A5ABC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796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7A5ABC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796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7A5ABC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59DA31E9" w14:textId="2CD3F70B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7A5ABC">
              <w:rPr>
                <w:b/>
                <w:sz w:val="16"/>
                <w:szCs w:val="16"/>
                <w:lang w:val="pt-BR"/>
              </w:rPr>
              <w:t>PESSOA_JURIDICA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7A5ABC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796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165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7A5ABC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796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7A5ABC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796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7A5ABC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796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7A5ABC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796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7A5ABC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796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7A5ABC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796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7A5ABC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796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7A5ABC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796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7A5ABC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796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7A5ABC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796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CB249" w14:textId="77777777" w:rsidR="00864146" w:rsidRDefault="00864146">
      <w:r>
        <w:separator/>
      </w:r>
    </w:p>
  </w:endnote>
  <w:endnote w:type="continuationSeparator" w:id="0">
    <w:p w14:paraId="1558D5EA" w14:textId="77777777" w:rsidR="00864146" w:rsidRDefault="0086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73577D" w:rsidRPr="001F108F" w:rsidRDefault="0086414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687" r:id="rId2"/>
      </w:pict>
    </w:r>
    <w:r w:rsidR="0073577D" w:rsidRPr="001F108F">
      <w:rPr>
        <w:b/>
      </w:rPr>
      <w:fldChar w:fldCharType="begin"/>
    </w:r>
    <w:r w:rsidR="0073577D" w:rsidRPr="001F108F">
      <w:rPr>
        <w:b/>
      </w:rPr>
      <w:instrText>PAGE   \* MERGEFORMAT</w:instrText>
    </w:r>
    <w:r w:rsidR="0073577D" w:rsidRPr="001F108F">
      <w:rPr>
        <w:b/>
      </w:rPr>
      <w:fldChar w:fldCharType="separate"/>
    </w:r>
    <w:r w:rsidR="00396632" w:rsidRPr="00396632">
      <w:rPr>
        <w:b/>
        <w:noProof/>
        <w:lang w:val="pt-BR"/>
      </w:rPr>
      <w:t>2</w:t>
    </w:r>
    <w:r w:rsidR="0073577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12E4E" w14:textId="77777777" w:rsidR="00864146" w:rsidRDefault="00864146">
      <w:r>
        <w:separator/>
      </w:r>
    </w:p>
  </w:footnote>
  <w:footnote w:type="continuationSeparator" w:id="0">
    <w:p w14:paraId="72035D02" w14:textId="77777777" w:rsidR="00864146" w:rsidRDefault="00864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73577D" w:rsidRPr="000A2EDD" w:rsidRDefault="0073577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9"/>
  </w:num>
  <w:num w:numId="5">
    <w:abstractNumId w:val="3"/>
  </w:num>
  <w:num w:numId="6">
    <w:abstractNumId w:val="16"/>
  </w:num>
  <w:num w:numId="7">
    <w:abstractNumId w:val="22"/>
  </w:num>
  <w:num w:numId="8">
    <w:abstractNumId w:val="33"/>
  </w:num>
  <w:num w:numId="9">
    <w:abstractNumId w:val="27"/>
  </w:num>
  <w:num w:numId="10">
    <w:abstractNumId w:val="23"/>
  </w:num>
  <w:num w:numId="11">
    <w:abstractNumId w:val="5"/>
  </w:num>
  <w:num w:numId="12">
    <w:abstractNumId w:val="27"/>
  </w:num>
  <w:num w:numId="13">
    <w:abstractNumId w:val="27"/>
  </w:num>
  <w:num w:numId="14">
    <w:abstractNumId w:val="29"/>
  </w:num>
  <w:num w:numId="15">
    <w:abstractNumId w:val="27"/>
  </w:num>
  <w:num w:numId="16">
    <w:abstractNumId w:val="27"/>
  </w:num>
  <w:num w:numId="17">
    <w:abstractNumId w:val="27"/>
  </w:num>
  <w:num w:numId="18">
    <w:abstractNumId w:val="10"/>
  </w:num>
  <w:num w:numId="19">
    <w:abstractNumId w:val="13"/>
  </w:num>
  <w:num w:numId="20">
    <w:abstractNumId w:val="2"/>
  </w:num>
  <w:num w:numId="21">
    <w:abstractNumId w:val="6"/>
  </w:num>
  <w:num w:numId="22">
    <w:abstractNumId w:val="11"/>
  </w:num>
  <w:num w:numId="23">
    <w:abstractNumId w:val="31"/>
  </w:num>
  <w:num w:numId="24">
    <w:abstractNumId w:val="7"/>
  </w:num>
  <w:num w:numId="25">
    <w:abstractNumId w:val="25"/>
  </w:num>
  <w:num w:numId="26">
    <w:abstractNumId w:val="18"/>
  </w:num>
  <w:num w:numId="27">
    <w:abstractNumId w:val="1"/>
  </w:num>
  <w:num w:numId="28">
    <w:abstractNumId w:val="14"/>
  </w:num>
  <w:num w:numId="29">
    <w:abstractNumId w:val="4"/>
  </w:num>
  <w:num w:numId="30">
    <w:abstractNumId w:val="24"/>
  </w:num>
  <w:num w:numId="31">
    <w:abstractNumId w:val="20"/>
  </w:num>
  <w:num w:numId="32">
    <w:abstractNumId w:val="32"/>
  </w:num>
  <w:num w:numId="33">
    <w:abstractNumId w:val="26"/>
  </w:num>
  <w:num w:numId="34">
    <w:abstractNumId w:val="17"/>
  </w:num>
  <w:num w:numId="35">
    <w:abstractNumId w:val="21"/>
  </w:num>
  <w:num w:numId="36">
    <w:abstractNumId w:val="15"/>
  </w:num>
  <w:num w:numId="37">
    <w:abstractNumId w:val="12"/>
  </w:num>
  <w:num w:numId="38">
    <w:abstractNumId w:val="30"/>
  </w:num>
  <w:num w:numId="39">
    <w:abstractNumId w:val="8"/>
  </w:num>
  <w:num w:numId="40">
    <w:abstractNumId w:val="2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DDD"/>
    <w:rsid w:val="000208D8"/>
    <w:rsid w:val="00022AE1"/>
    <w:rsid w:val="00035CB2"/>
    <w:rsid w:val="000941DB"/>
    <w:rsid w:val="000F3269"/>
    <w:rsid w:val="00112A21"/>
    <w:rsid w:val="001167F1"/>
    <w:rsid w:val="001240E9"/>
    <w:rsid w:val="0013090F"/>
    <w:rsid w:val="00140ED8"/>
    <w:rsid w:val="00141C1A"/>
    <w:rsid w:val="00161851"/>
    <w:rsid w:val="00191072"/>
    <w:rsid w:val="001A2C86"/>
    <w:rsid w:val="001B4919"/>
    <w:rsid w:val="001B6DD2"/>
    <w:rsid w:val="001C6CF5"/>
    <w:rsid w:val="001F108F"/>
    <w:rsid w:val="001F5AAB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86805"/>
    <w:rsid w:val="00395CB9"/>
    <w:rsid w:val="00396632"/>
    <w:rsid w:val="003A0B0A"/>
    <w:rsid w:val="003B01EE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130A1"/>
    <w:rsid w:val="00623B30"/>
    <w:rsid w:val="0063171B"/>
    <w:rsid w:val="00646A70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A5ABC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64146"/>
    <w:rsid w:val="00872880"/>
    <w:rsid w:val="0087643C"/>
    <w:rsid w:val="00884BDB"/>
    <w:rsid w:val="00885A3B"/>
    <w:rsid w:val="00893EA6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6C22"/>
    <w:rsid w:val="00947BCB"/>
    <w:rsid w:val="00950883"/>
    <w:rsid w:val="00982A1C"/>
    <w:rsid w:val="009845A7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331A"/>
    <w:rsid w:val="00B8519D"/>
    <w:rsid w:val="00BB5E3C"/>
    <w:rsid w:val="00BE1A74"/>
    <w:rsid w:val="00BF1F5B"/>
    <w:rsid w:val="00BF36E6"/>
    <w:rsid w:val="00BF5AE6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87C27"/>
    <w:rsid w:val="00EA4132"/>
    <w:rsid w:val="00EB43E7"/>
    <w:rsid w:val="00EB4603"/>
    <w:rsid w:val="00EB6CA8"/>
    <w:rsid w:val="00EC7AB4"/>
    <w:rsid w:val="00EE1147"/>
    <w:rsid w:val="00F125C7"/>
    <w:rsid w:val="00F17A77"/>
    <w:rsid w:val="00F34695"/>
    <w:rsid w:val="00F4465F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74706-3427-4814-993C-A53F9A13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974</TotalTime>
  <Pages>15</Pages>
  <Words>1690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10801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9</cp:revision>
  <cp:lastPrinted>2001-03-15T17:26:00Z</cp:lastPrinted>
  <dcterms:created xsi:type="dcterms:W3CDTF">2016-07-27T19:46:00Z</dcterms:created>
  <dcterms:modified xsi:type="dcterms:W3CDTF">2016-08-23T19:58:00Z</dcterms:modified>
</cp:coreProperties>
</file>