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8B31C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8FBF6D6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395C64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49A2A58" w14:textId="77777777"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4957266B" w14:textId="77777777"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0A7584">
        <w:rPr>
          <w:snapToGrid/>
          <w:color w:val="1F497D"/>
          <w:sz w:val="28"/>
          <w:szCs w:val="28"/>
          <w:lang w:val="pt-BR" w:eastAsia="ja-JP"/>
        </w:rPr>
        <w:br/>
      </w:r>
    </w:p>
    <w:p w14:paraId="2F69B668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877DF7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9F81977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F5AE90" w14:textId="77777777" w:rsidR="001F108F" w:rsidRPr="000A7584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A758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5536BD54" w14:textId="77777777" w:rsidR="001F108F" w:rsidRPr="000A7584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00A1276" w14:textId="77777777" w:rsidR="00D44D3F" w:rsidRPr="000A7584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065678" w:rsidRPr="00065678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14:paraId="0D7315A2" w14:textId="77777777" w:rsidR="00017DDD" w:rsidRPr="000A7584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B07C7" w:rsidRPr="000A7584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065678">
        <w:rPr>
          <w:b/>
          <w:iCs/>
          <w:snapToGrid/>
          <w:spacing w:val="15"/>
          <w:sz w:val="28"/>
          <w:szCs w:val="28"/>
          <w:lang w:val="pt-BR" w:eastAsia="ja-JP"/>
        </w:rPr>
        <w:t>F</w:t>
      </w:r>
    </w:p>
    <w:p w14:paraId="13119663" w14:textId="77777777" w:rsidR="00690748" w:rsidRPr="001D2A2A" w:rsidRDefault="001F108F" w:rsidP="001D2A2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484BF5" w:rsidRPr="00484BF5">
        <w:rPr>
          <w:b/>
          <w:snapToGrid/>
          <w:sz w:val="22"/>
          <w:szCs w:val="22"/>
          <w:lang w:val="pt-BR" w:eastAsia="ja-JP"/>
        </w:rPr>
        <w:tab/>
      </w:r>
      <w:r w:rsidR="00065678" w:rsidRPr="00065678">
        <w:rPr>
          <w:rFonts w:eastAsia="ヒラギノ角ゴ Pro W3"/>
          <w:b/>
          <w:bCs/>
          <w:iCs/>
          <w:snapToGrid/>
          <w:szCs w:val="24"/>
          <w:lang w:val="pt-BR" w:eastAsia="ja-JP"/>
        </w:rPr>
        <w:t>DEFUC0107 - Confirmar Cadastro no DEF</w:t>
      </w:r>
    </w:p>
    <w:p w14:paraId="24C2FFBA" w14:textId="77777777" w:rsidR="00690748" w:rsidRPr="000A7584" w:rsidRDefault="00690748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7D9390B" w14:textId="77777777" w:rsidR="00244BB3" w:rsidRPr="000A7584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36E36DC" w14:textId="77777777" w:rsidR="00017DDD" w:rsidRPr="000A7584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63B63ED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F7531F2" w14:textId="77777777" w:rsidR="00017DDD" w:rsidRPr="000A7584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09E941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D464260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6D1599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E25551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FEFC9E3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20CB8C" w14:textId="77777777" w:rsidR="001F108F" w:rsidRPr="000A7584" w:rsidRDefault="00A9663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</w:t>
      </w:r>
      <w:r w:rsidR="00B00645">
        <w:rPr>
          <w:snapToGrid/>
          <w:sz w:val="22"/>
          <w:szCs w:val="22"/>
          <w:lang w:val="pt-BR" w:eastAsia="ja-JP"/>
        </w:rPr>
        <w:t>6</w:t>
      </w:r>
      <w:r w:rsidR="001F108F" w:rsidRPr="000A7584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01/2016</w:t>
      </w:r>
    </w:p>
    <w:p w14:paraId="6E2DC200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C787BD9" w14:textId="77777777" w:rsidR="0057275D" w:rsidRPr="000A7584" w:rsidRDefault="001F108F" w:rsidP="001F108F">
      <w:pPr>
        <w:widowControl/>
        <w:autoSpaceDE/>
        <w:autoSpaceDN/>
        <w:jc w:val="both"/>
        <w:rPr>
          <w:lang w:val="pt-BR"/>
        </w:rPr>
      </w:pPr>
      <w:r w:rsidRPr="000A7584">
        <w:rPr>
          <w:snapToGrid/>
          <w:sz w:val="22"/>
          <w:szCs w:val="22"/>
          <w:lang w:val="pt-BR" w:eastAsia="ja-JP"/>
        </w:rPr>
        <w:br w:type="page"/>
      </w:r>
    </w:p>
    <w:p w14:paraId="65342BCA" w14:textId="77777777"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lastRenderedPageBreak/>
        <w:t>Histórico d</w:t>
      </w:r>
      <w:r w:rsidR="001F108F" w:rsidRPr="000A7584">
        <w:rPr>
          <w:lang w:val="pt-BR"/>
        </w:rPr>
        <w:t>e</w:t>
      </w:r>
      <w:r w:rsidRPr="000A7584">
        <w:rPr>
          <w:lang w:val="pt-BR"/>
        </w:rPr>
        <w:t xml:space="preserve"> </w:t>
      </w:r>
      <w:r w:rsidR="0041232C" w:rsidRPr="000A7584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0A7584" w14:paraId="48B22EB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0DD3F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46CD6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3B5C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Autor</w:t>
            </w:r>
          </w:p>
        </w:tc>
      </w:tr>
      <w:tr w:rsidR="002F1589" w:rsidRPr="000A7584" w14:paraId="2AFFEC90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B4F1" w14:textId="77777777" w:rsidR="002F1589" w:rsidRPr="000A7584" w:rsidRDefault="00A96639" w:rsidP="00B00645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</w:t>
            </w:r>
            <w:r w:rsidR="00B00645">
              <w:rPr>
                <w:color w:val="000000"/>
                <w:lang w:val="pt-BR"/>
              </w:rPr>
              <w:t>6</w:t>
            </w:r>
            <w:r w:rsidR="002F1589" w:rsidRPr="000A7584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01</w:t>
            </w:r>
            <w:r w:rsidR="002F1589" w:rsidRPr="000A7584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568CE" w14:textId="77777777" w:rsidR="002F1589" w:rsidRPr="000A7584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Versão </w:t>
            </w:r>
            <w:r w:rsidR="00653AB6" w:rsidRPr="000A7584">
              <w:rPr>
                <w:color w:val="000000"/>
                <w:lang w:val="pt-BR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6600" w14:textId="77777777" w:rsidR="002F1589" w:rsidRPr="000A7584" w:rsidRDefault="00BB07C7" w:rsidP="00A96639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Roberto Pereira </w:t>
            </w:r>
            <w:proofErr w:type="spellStart"/>
            <w:r w:rsidRPr="000A7584">
              <w:rPr>
                <w:color w:val="000000"/>
                <w:lang w:val="pt-BR"/>
              </w:rPr>
              <w:t>S</w:t>
            </w:r>
            <w:r w:rsidR="00A96639">
              <w:rPr>
                <w:color w:val="000000"/>
                <w:lang w:val="pt-BR"/>
              </w:rPr>
              <w:t>tambuk</w:t>
            </w:r>
            <w:proofErr w:type="spellEnd"/>
          </w:p>
        </w:tc>
      </w:tr>
      <w:tr w:rsidR="0045775B" w:rsidRPr="000A7584" w14:paraId="5A19057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31818" w14:textId="77777777" w:rsidR="001F108F" w:rsidRPr="000A7584" w:rsidRDefault="00FD35BF" w:rsidP="00FD35B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26/09/2016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02B02" w14:textId="77777777" w:rsidR="001F108F" w:rsidRPr="000A7584" w:rsidRDefault="00FD35BF" w:rsidP="00FD35BF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2: Revisão para análise de sistemas.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EC0D7" w14:textId="77777777" w:rsidR="001F108F" w:rsidRPr="000A7584" w:rsidRDefault="00FD35BF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Cristiano B. Casaril</w:t>
            </w:r>
          </w:p>
        </w:tc>
      </w:tr>
      <w:tr w:rsidR="001F108F" w:rsidRPr="000A7584" w14:paraId="65DF315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4A9B0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E8288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25AB9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14:paraId="18A63F74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4B10B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8D60E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8F82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14:paraId="4F733C24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CF4B8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51DCD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E49D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12D71A81" w14:textId="77777777" w:rsidR="0063171B" w:rsidRPr="000A7584" w:rsidRDefault="0063171B">
      <w:pPr>
        <w:rPr>
          <w:lang w:val="pt-BR"/>
        </w:rPr>
      </w:pPr>
    </w:p>
    <w:p w14:paraId="61209024" w14:textId="77777777"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br w:type="page"/>
      </w:r>
      <w:r w:rsidRPr="000A7584">
        <w:rPr>
          <w:lang w:val="pt-BR"/>
        </w:rPr>
        <w:lastRenderedPageBreak/>
        <w:t>Índice</w:t>
      </w:r>
    </w:p>
    <w:p w14:paraId="7E1D5090" w14:textId="77777777" w:rsidR="00834F4F" w:rsidRDefault="0008217D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A7584">
        <w:rPr>
          <w:lang w:val="pt-BR"/>
        </w:rPr>
        <w:fldChar w:fldCharType="begin"/>
      </w:r>
      <w:r w:rsidR="00D31D0F" w:rsidRPr="000A7584">
        <w:rPr>
          <w:lang w:val="pt-BR"/>
        </w:rPr>
        <w:instrText xml:space="preserve"> TOC \o "1-3" \h \z \u </w:instrText>
      </w:r>
      <w:r w:rsidRPr="000A7584">
        <w:rPr>
          <w:lang w:val="pt-BR"/>
        </w:rPr>
        <w:fldChar w:fldCharType="separate"/>
      </w:r>
      <w:hyperlink w:anchor="_Toc463533565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</w:t>
        </w:r>
        <w:r w:rsidR="00834F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DEFUC0107 - Confirmar Cadastro no DEF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_Toc463533565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4</w:t>
        </w:r>
        <w:r w:rsidR="00834F4F">
          <w:rPr>
            <w:noProof/>
            <w:webHidden/>
          </w:rPr>
          <w:fldChar w:fldCharType="end"/>
        </w:r>
      </w:hyperlink>
    </w:p>
    <w:p w14:paraId="45A8A08B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66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1.1.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Descrição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_Toc463533566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4</w:t>
        </w:r>
        <w:r w:rsidR="00834F4F">
          <w:rPr>
            <w:noProof/>
            <w:webHidden/>
          </w:rPr>
          <w:fldChar w:fldCharType="end"/>
        </w:r>
      </w:hyperlink>
    </w:p>
    <w:p w14:paraId="7123D4A0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67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1.2.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Atores Envolvidos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_Toc463533567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4</w:t>
        </w:r>
        <w:r w:rsidR="00834F4F">
          <w:rPr>
            <w:noProof/>
            <w:webHidden/>
          </w:rPr>
          <w:fldChar w:fldCharType="end"/>
        </w:r>
      </w:hyperlink>
    </w:p>
    <w:p w14:paraId="06A1000E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68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1.3.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Diagrama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_Toc463533568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4</w:t>
        </w:r>
        <w:r w:rsidR="00834F4F">
          <w:rPr>
            <w:noProof/>
            <w:webHidden/>
          </w:rPr>
          <w:fldChar w:fldCharType="end"/>
        </w:r>
      </w:hyperlink>
    </w:p>
    <w:p w14:paraId="698BCB5C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69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1.4.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Pré-condições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_Toc463533569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4</w:t>
        </w:r>
        <w:r w:rsidR="00834F4F">
          <w:rPr>
            <w:noProof/>
            <w:webHidden/>
          </w:rPr>
          <w:fldChar w:fldCharType="end"/>
        </w:r>
      </w:hyperlink>
    </w:p>
    <w:p w14:paraId="3305840E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70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1.5.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Fluxo Principal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_Toc463533570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4</w:t>
        </w:r>
        <w:r w:rsidR="00834F4F">
          <w:rPr>
            <w:noProof/>
            <w:webHidden/>
          </w:rPr>
          <w:fldChar w:fldCharType="end"/>
        </w:r>
      </w:hyperlink>
    </w:p>
    <w:p w14:paraId="75A7DBAF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71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1.6.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Fluxos Alternativos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_Toc463533571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4</w:t>
        </w:r>
        <w:r w:rsidR="00834F4F">
          <w:rPr>
            <w:noProof/>
            <w:webHidden/>
          </w:rPr>
          <w:fldChar w:fldCharType="end"/>
        </w:r>
      </w:hyperlink>
    </w:p>
    <w:p w14:paraId="43A3B72B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72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1.7.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Fluxos de Exceção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_Toc463533572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4</w:t>
        </w:r>
        <w:r w:rsidR="00834F4F">
          <w:rPr>
            <w:noProof/>
            <w:webHidden/>
          </w:rPr>
          <w:fldChar w:fldCharType="end"/>
        </w:r>
      </w:hyperlink>
    </w:p>
    <w:p w14:paraId="7AB6CA5A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73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1.8.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Pós-condição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_Toc463533573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4</w:t>
        </w:r>
        <w:r w:rsidR="00834F4F">
          <w:rPr>
            <w:noProof/>
            <w:webHidden/>
          </w:rPr>
          <w:fldChar w:fldCharType="end"/>
        </w:r>
      </w:hyperlink>
    </w:p>
    <w:p w14:paraId="517DE7D0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74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1.9.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Requisitos Especiais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_Toc463533574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5</w:t>
        </w:r>
        <w:r w:rsidR="00834F4F">
          <w:rPr>
            <w:noProof/>
            <w:webHidden/>
          </w:rPr>
          <w:fldChar w:fldCharType="end"/>
        </w:r>
      </w:hyperlink>
    </w:p>
    <w:p w14:paraId="6632FFFC" w14:textId="77777777" w:rsidR="00834F4F" w:rsidRDefault="00BC188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33575" w:history="1"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1.10.</w:t>
        </w:r>
        <w:r w:rsidR="00834F4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4F4F" w:rsidRPr="00A41376">
          <w:rPr>
            <w:rStyle w:val="Hyperlink"/>
            <w:rFonts w:eastAsia="ヒラギノ角ゴ Pro W3"/>
            <w:noProof/>
            <w:lang w:val="pt-BR" w:eastAsia="ja-JP"/>
          </w:rPr>
          <w:t>Layout das Páginas de Entrada ou Saída</w:t>
        </w:r>
        <w:r w:rsidR="00834F4F">
          <w:rPr>
            <w:noProof/>
            <w:webHidden/>
          </w:rPr>
          <w:tab/>
        </w:r>
        <w:r w:rsidR="00834F4F">
          <w:rPr>
            <w:noProof/>
            <w:webHidden/>
          </w:rPr>
          <w:fldChar w:fldCharType="begin"/>
        </w:r>
        <w:r w:rsidR="00834F4F">
          <w:rPr>
            <w:noProof/>
            <w:webHidden/>
          </w:rPr>
          <w:instrText xml:space="preserve"> PAGEREF _Toc463533575 \h </w:instrText>
        </w:r>
        <w:r w:rsidR="00834F4F">
          <w:rPr>
            <w:noProof/>
            <w:webHidden/>
          </w:rPr>
        </w:r>
        <w:r w:rsidR="00834F4F">
          <w:rPr>
            <w:noProof/>
            <w:webHidden/>
          </w:rPr>
          <w:fldChar w:fldCharType="separate"/>
        </w:r>
        <w:r w:rsidR="00834F4F">
          <w:rPr>
            <w:noProof/>
            <w:webHidden/>
          </w:rPr>
          <w:t>5</w:t>
        </w:r>
        <w:r w:rsidR="00834F4F">
          <w:rPr>
            <w:noProof/>
            <w:webHidden/>
          </w:rPr>
          <w:fldChar w:fldCharType="end"/>
        </w:r>
      </w:hyperlink>
    </w:p>
    <w:p w14:paraId="515D8F17" w14:textId="77777777" w:rsidR="0063171B" w:rsidRPr="000A7584" w:rsidRDefault="0008217D">
      <w:pPr>
        <w:pStyle w:val="Ttulo"/>
        <w:rPr>
          <w:lang w:val="pt-BR"/>
        </w:rPr>
      </w:pPr>
      <w:r w:rsidRPr="000A7584">
        <w:rPr>
          <w:lang w:val="pt-BR"/>
        </w:rPr>
        <w:fldChar w:fldCharType="end"/>
      </w:r>
      <w:r w:rsidR="0063171B" w:rsidRPr="000A7584">
        <w:rPr>
          <w:lang w:val="pt-BR"/>
        </w:rPr>
        <w:br w:type="page"/>
      </w:r>
      <w:r w:rsidR="00B413B5" w:rsidRPr="000A7584">
        <w:rPr>
          <w:lang w:val="pt-BR"/>
        </w:rPr>
        <w:lastRenderedPageBreak/>
        <w:fldChar w:fldCharType="begin"/>
      </w:r>
      <w:r w:rsidR="00B413B5" w:rsidRPr="000A7584">
        <w:rPr>
          <w:lang w:val="pt-BR"/>
        </w:rPr>
        <w:instrText xml:space="preserve"> TITLE  \* MERGEFORMAT </w:instrText>
      </w:r>
      <w:r w:rsidR="00B413B5" w:rsidRPr="000A7584">
        <w:rPr>
          <w:lang w:val="pt-BR"/>
        </w:rPr>
        <w:fldChar w:fldCharType="separate"/>
      </w:r>
      <w:r w:rsidR="004819BD" w:rsidRPr="000A7584">
        <w:rPr>
          <w:lang w:val="pt-BR"/>
        </w:rPr>
        <w:t>Especificação de Caso de Uso</w:t>
      </w:r>
      <w:r w:rsidR="00B413B5" w:rsidRPr="000A7584">
        <w:rPr>
          <w:lang w:val="pt-BR"/>
        </w:rPr>
        <w:fldChar w:fldCharType="end"/>
      </w:r>
    </w:p>
    <w:p w14:paraId="0D473708" w14:textId="77777777" w:rsidR="001D2A2A" w:rsidRPr="001D2A2A" w:rsidRDefault="00B00645" w:rsidP="00065678">
      <w:pPr>
        <w:pStyle w:val="Ttulo1"/>
        <w:rPr>
          <w:rFonts w:eastAsia="ヒラギノ角ゴ Pro W3"/>
          <w:snapToGrid/>
          <w:lang w:val="pt-BR" w:eastAsia="ja-JP"/>
        </w:rPr>
      </w:pPr>
      <w:r w:rsidRPr="001D2A2A">
        <w:rPr>
          <w:rFonts w:eastAsia="ヒラギノ角ゴ Pro W3"/>
          <w:snapToGrid/>
          <w:lang w:val="pt-BR" w:eastAsia="ja-JP"/>
        </w:rPr>
        <w:tab/>
      </w:r>
      <w:r w:rsidR="001D2A2A" w:rsidRPr="001D2A2A">
        <w:rPr>
          <w:rFonts w:eastAsia="ヒラギノ角ゴ Pro W3"/>
          <w:snapToGrid/>
          <w:lang w:val="pt-BR" w:eastAsia="ja-JP"/>
        </w:rPr>
        <w:tab/>
      </w:r>
      <w:bookmarkStart w:id="0" w:name="_Toc463533565"/>
      <w:r w:rsidR="00065678" w:rsidRPr="00065678">
        <w:rPr>
          <w:rFonts w:eastAsia="ヒラギノ角ゴ Pro W3"/>
          <w:snapToGrid/>
          <w:lang w:val="pt-BR" w:eastAsia="ja-JP"/>
        </w:rPr>
        <w:t>DEFUC0107 - Confirmar Cadastro no DEF</w:t>
      </w:r>
      <w:bookmarkEnd w:id="0"/>
    </w:p>
    <w:p w14:paraId="0016E0F0" w14:textId="77777777" w:rsidR="00B00645" w:rsidRDefault="00B00645" w:rsidP="00B00645">
      <w:pPr>
        <w:pStyle w:val="Ttulo2"/>
        <w:rPr>
          <w:rFonts w:eastAsia="ヒラギノ角ゴ Pro W3"/>
          <w:snapToGrid/>
          <w:lang w:val="pt-BR" w:eastAsia="ja-JP"/>
        </w:rPr>
      </w:pPr>
      <w:bookmarkStart w:id="1" w:name="_Toc463533566"/>
      <w:r w:rsidRPr="00B00645">
        <w:rPr>
          <w:rFonts w:eastAsia="ヒラギノ角ゴ Pro W3"/>
          <w:snapToGrid/>
          <w:lang w:val="pt-BR" w:eastAsia="ja-JP"/>
        </w:rPr>
        <w:t>Descrição</w:t>
      </w:r>
      <w:bookmarkEnd w:id="1"/>
    </w:p>
    <w:p w14:paraId="08BFFF0E" w14:textId="645EB651" w:rsidR="001D2A2A" w:rsidRPr="001D2A2A" w:rsidRDefault="001D2A2A" w:rsidP="001D2A2A">
      <w:pPr>
        <w:jc w:val="both"/>
        <w:rPr>
          <w:lang w:val="pt-BR" w:eastAsia="ja-JP"/>
        </w:rPr>
      </w:pPr>
      <w:r w:rsidRPr="001D2A2A">
        <w:rPr>
          <w:lang w:val="pt-BR" w:eastAsia="ja-JP"/>
        </w:rPr>
        <w:t xml:space="preserve">É o procedimento pelo qual o “não contribuinte” confirma o seu </w:t>
      </w:r>
      <w:r w:rsidR="00B50C5D">
        <w:rPr>
          <w:lang w:val="pt-BR" w:eastAsia="ja-JP"/>
        </w:rPr>
        <w:t>“</w:t>
      </w:r>
      <w:r w:rsidRPr="001D2A2A">
        <w:rPr>
          <w:lang w:val="pt-BR" w:eastAsia="ja-JP"/>
        </w:rPr>
        <w:t>cadastro</w:t>
      </w:r>
      <w:r w:rsidR="00B50C5D">
        <w:rPr>
          <w:lang w:val="pt-BR" w:eastAsia="ja-JP"/>
        </w:rPr>
        <w:t>”</w:t>
      </w:r>
      <w:r w:rsidRPr="001D2A2A">
        <w:rPr>
          <w:lang w:val="pt-BR" w:eastAsia="ja-JP"/>
        </w:rPr>
        <w:t xml:space="preserve"> no DE</w:t>
      </w:r>
      <w:r w:rsidR="00065678">
        <w:rPr>
          <w:lang w:val="pt-BR" w:eastAsia="ja-JP"/>
        </w:rPr>
        <w:t>F</w:t>
      </w:r>
      <w:r w:rsidRPr="001D2A2A">
        <w:rPr>
          <w:lang w:val="pt-BR" w:eastAsia="ja-JP"/>
        </w:rPr>
        <w:t>. Para isto ele registrará no site d</w:t>
      </w:r>
      <w:r w:rsidR="00477816">
        <w:rPr>
          <w:lang w:val="pt-BR" w:eastAsia="ja-JP"/>
        </w:rPr>
        <w:t>a SEFAZ-TO código</w:t>
      </w:r>
      <w:r w:rsidR="00FD35BF">
        <w:rPr>
          <w:lang w:val="pt-BR" w:eastAsia="ja-JP"/>
        </w:rPr>
        <w:t xml:space="preserve"> de controle </w:t>
      </w:r>
      <w:r w:rsidRPr="001D2A2A">
        <w:rPr>
          <w:lang w:val="pt-BR" w:eastAsia="ja-JP"/>
        </w:rPr>
        <w:t>emitido pelo sistema</w:t>
      </w:r>
      <w:r w:rsidR="00FD35BF">
        <w:rPr>
          <w:lang w:val="pt-BR" w:eastAsia="ja-JP"/>
        </w:rPr>
        <w:t xml:space="preserve"> a</w:t>
      </w:r>
      <w:r w:rsidR="00D76696">
        <w:rPr>
          <w:lang w:val="pt-BR" w:eastAsia="ja-JP"/>
        </w:rPr>
        <w:t xml:space="preserve">o </w:t>
      </w:r>
      <w:r w:rsidRPr="001D2A2A">
        <w:rPr>
          <w:lang w:val="pt-BR" w:eastAsia="ja-JP"/>
        </w:rPr>
        <w:t>endereço eletrônico.</w:t>
      </w:r>
    </w:p>
    <w:p w14:paraId="48A8617A" w14:textId="5102ED29" w:rsidR="00B4167B" w:rsidRPr="000A7584" w:rsidRDefault="001D2A2A" w:rsidP="00126780">
      <w:pPr>
        <w:jc w:val="both"/>
        <w:rPr>
          <w:lang w:val="pt-BR"/>
        </w:rPr>
      </w:pPr>
      <w:r>
        <w:rPr>
          <w:lang w:val="pt-BR"/>
        </w:rPr>
        <w:t>A confirmação é realiz</w:t>
      </w:r>
      <w:r w:rsidR="004355E3">
        <w:rPr>
          <w:lang w:val="pt-BR"/>
        </w:rPr>
        <w:t>ada na hora em que ele coloca o código</w:t>
      </w:r>
      <w:r>
        <w:rPr>
          <w:lang w:val="pt-BR"/>
        </w:rPr>
        <w:t xml:space="preserve"> </w:t>
      </w:r>
      <w:r w:rsidR="004355E3">
        <w:rPr>
          <w:lang w:val="pt-BR"/>
        </w:rPr>
        <w:t>recebido</w:t>
      </w:r>
      <w:r w:rsidR="00B4167B">
        <w:rPr>
          <w:lang w:val="pt-BR"/>
        </w:rPr>
        <w:t>.</w:t>
      </w:r>
    </w:p>
    <w:p w14:paraId="7EB05EF3" w14:textId="77777777" w:rsidR="001C6CF5" w:rsidRPr="00671726" w:rsidRDefault="001C6CF5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" w:name="_Toc408584580"/>
      <w:bookmarkStart w:id="3" w:name="_Toc463533567"/>
      <w:r w:rsidRPr="00671726">
        <w:rPr>
          <w:rFonts w:eastAsia="ヒラギノ角ゴ Pro W3"/>
          <w:snapToGrid/>
          <w:lang w:val="pt-BR" w:eastAsia="ja-JP"/>
        </w:rPr>
        <w:t>Atores Envolvidos</w:t>
      </w:r>
      <w:bookmarkEnd w:id="2"/>
      <w:bookmarkEnd w:id="3"/>
    </w:p>
    <w:p w14:paraId="4F3791E7" w14:textId="77777777" w:rsidR="00B4167B" w:rsidRPr="00B4167B" w:rsidRDefault="00B4167B" w:rsidP="00A96639">
      <w:pPr>
        <w:rPr>
          <w:lang w:val="pt-BR"/>
        </w:rPr>
      </w:pPr>
      <w:r>
        <w:rPr>
          <w:lang w:val="pt-BR"/>
        </w:rPr>
        <w:t>Usuário n</w:t>
      </w:r>
      <w:r w:rsidRPr="00B4167B">
        <w:rPr>
          <w:lang w:val="pt-BR"/>
        </w:rPr>
        <w:t>ão contribuinte do ICMS.</w:t>
      </w:r>
    </w:p>
    <w:p w14:paraId="21E52E0D" w14:textId="77777777"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4" w:name="_Toc408584581"/>
      <w:bookmarkStart w:id="5" w:name="_Toc463533568"/>
      <w:r w:rsidRPr="00671726">
        <w:rPr>
          <w:rFonts w:eastAsia="ヒラギノ角ゴ Pro W3"/>
          <w:snapToGrid/>
          <w:lang w:val="pt-BR" w:eastAsia="ja-JP"/>
        </w:rPr>
        <w:t>Diagrama</w:t>
      </w:r>
      <w:bookmarkEnd w:id="4"/>
      <w:bookmarkEnd w:id="5"/>
    </w:p>
    <w:p w14:paraId="7024681C" w14:textId="77777777" w:rsidR="00CC2238" w:rsidRDefault="00FD35BF" w:rsidP="0072262C">
      <w:pPr>
        <w:rPr>
          <w:rFonts w:eastAsia="ヒラギノ角ゴ Pro W3"/>
          <w:snapToGrid/>
          <w:lang w:val="pt-BR" w:eastAsia="ja-JP"/>
        </w:rPr>
      </w:pPr>
      <w:bookmarkStart w:id="6" w:name="_Toc408584582"/>
      <w:r>
        <w:rPr>
          <w:noProof/>
          <w:snapToGrid/>
          <w:lang w:val="pt-BR" w:eastAsia="pt-BR"/>
        </w:rPr>
        <w:t>N/A</w:t>
      </w:r>
    </w:p>
    <w:p w14:paraId="013B5C9C" w14:textId="6270C6B0" w:rsidR="00CC2238" w:rsidRPr="0049353B" w:rsidRDefault="00496636" w:rsidP="0049353B">
      <w:pPr>
        <w:pStyle w:val="Ttulo2"/>
        <w:rPr>
          <w:rFonts w:eastAsia="ヒラギノ角ゴ Pro W3"/>
          <w:snapToGrid/>
          <w:lang w:val="pt-BR" w:eastAsia="ja-JP"/>
        </w:rPr>
      </w:pPr>
      <w:bookmarkStart w:id="7" w:name="_Toc463533569"/>
      <w:r w:rsidRPr="00671726">
        <w:rPr>
          <w:rFonts w:eastAsia="ヒラギノ角ゴ Pro W3"/>
          <w:snapToGrid/>
          <w:lang w:val="pt-BR" w:eastAsia="ja-JP"/>
        </w:rPr>
        <w:t>Pré</w:t>
      </w:r>
      <w:r w:rsidR="00571D04" w:rsidRPr="00671726">
        <w:rPr>
          <w:rFonts w:eastAsia="ヒラギノ角ゴ Pro W3"/>
          <w:snapToGrid/>
          <w:lang w:val="pt-BR" w:eastAsia="ja-JP"/>
        </w:rPr>
        <w:t>-</w:t>
      </w:r>
      <w:r w:rsidRPr="00671726">
        <w:rPr>
          <w:rFonts w:eastAsia="ヒラギノ角ゴ Pro W3"/>
          <w:snapToGrid/>
          <w:lang w:val="pt-BR" w:eastAsia="ja-JP"/>
        </w:rPr>
        <w:t>condiçõe</w:t>
      </w:r>
      <w:bookmarkEnd w:id="6"/>
      <w:r w:rsidR="0049353B">
        <w:rPr>
          <w:rFonts w:eastAsia="ヒラギノ角ゴ Pro W3"/>
          <w:snapToGrid/>
          <w:lang w:val="pt-BR" w:eastAsia="ja-JP"/>
        </w:rPr>
        <w:t>s</w:t>
      </w:r>
      <w:bookmarkEnd w:id="7"/>
    </w:p>
    <w:p w14:paraId="5D5C90B5" w14:textId="77777777" w:rsidR="00B731F5" w:rsidRDefault="00B731F5" w:rsidP="00CC2238">
      <w:pPr>
        <w:rPr>
          <w:lang w:val="pt-BR"/>
        </w:rPr>
      </w:pPr>
      <w:r>
        <w:rPr>
          <w:lang w:val="pt-BR"/>
        </w:rPr>
        <w:t xml:space="preserve">O </w:t>
      </w:r>
      <w:r w:rsidR="000715FA">
        <w:rPr>
          <w:lang w:val="pt-BR"/>
        </w:rPr>
        <w:t>ator</w:t>
      </w:r>
      <w:r>
        <w:rPr>
          <w:lang w:val="pt-BR"/>
        </w:rPr>
        <w:t xml:space="preserve"> deve ter </w:t>
      </w:r>
      <w:r w:rsidR="00FD35BF">
        <w:rPr>
          <w:lang w:val="pt-BR"/>
        </w:rPr>
        <w:t>realizado uma solicitação</w:t>
      </w:r>
      <w:r>
        <w:rPr>
          <w:lang w:val="pt-BR"/>
        </w:rPr>
        <w:t xml:space="preserve"> de cadastro no DE</w:t>
      </w:r>
      <w:r w:rsidR="00065678">
        <w:rPr>
          <w:lang w:val="pt-BR"/>
        </w:rPr>
        <w:t>F</w:t>
      </w:r>
      <w:r>
        <w:rPr>
          <w:lang w:val="pt-BR"/>
        </w:rPr>
        <w:t>.</w:t>
      </w:r>
    </w:p>
    <w:p w14:paraId="432846E6" w14:textId="77777777" w:rsidR="002A1834" w:rsidRPr="00671726" w:rsidRDefault="002A1834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8" w:name="_Toc101248482"/>
      <w:bookmarkStart w:id="9" w:name="_Toc102377887"/>
      <w:bookmarkStart w:id="10" w:name="_Toc408584585"/>
      <w:bookmarkStart w:id="11" w:name="_Toc463533570"/>
      <w:bookmarkStart w:id="12" w:name="_Toc436203381"/>
      <w:r w:rsidRPr="00671726">
        <w:rPr>
          <w:rFonts w:eastAsia="ヒラギノ角ゴ Pro W3"/>
          <w:snapToGrid/>
          <w:lang w:val="pt-BR" w:eastAsia="ja-JP"/>
        </w:rPr>
        <w:t xml:space="preserve">Fluxo </w:t>
      </w:r>
      <w:r w:rsidR="00F73DFB" w:rsidRPr="00671726">
        <w:rPr>
          <w:rFonts w:eastAsia="ヒラギノ角ゴ Pro W3"/>
          <w:snapToGrid/>
          <w:lang w:val="pt-BR" w:eastAsia="ja-JP"/>
        </w:rPr>
        <w:t>Principal</w:t>
      </w:r>
      <w:bookmarkEnd w:id="8"/>
      <w:bookmarkEnd w:id="9"/>
      <w:bookmarkEnd w:id="10"/>
      <w:bookmarkEnd w:id="11"/>
    </w:p>
    <w:p w14:paraId="7B34AE02" w14:textId="77777777" w:rsidR="00CC2238" w:rsidRDefault="00CC2238" w:rsidP="00D71EB9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bookmarkStart w:id="13" w:name="_Toc408584586"/>
      <w:bookmarkStart w:id="14" w:name="_Toc100995325"/>
      <w:bookmarkStart w:id="15" w:name="_Toc114038718"/>
      <w:r>
        <w:rPr>
          <w:lang w:val="pt-BR"/>
        </w:rPr>
        <w:t xml:space="preserve">O </w:t>
      </w:r>
      <w:r w:rsidR="000715FA">
        <w:rPr>
          <w:lang w:val="pt-BR"/>
        </w:rPr>
        <w:t>ator</w:t>
      </w:r>
      <w:r>
        <w:rPr>
          <w:lang w:val="pt-BR"/>
        </w:rPr>
        <w:t xml:space="preserve"> seleciona a opção de </w:t>
      </w:r>
      <w:r w:rsidR="00B731F5">
        <w:rPr>
          <w:lang w:val="pt-BR"/>
        </w:rPr>
        <w:t>confirmar cadastro</w:t>
      </w:r>
      <w:r>
        <w:rPr>
          <w:lang w:val="pt-BR"/>
        </w:rPr>
        <w:t xml:space="preserve"> no DE</w:t>
      </w:r>
      <w:r w:rsidR="00065678">
        <w:rPr>
          <w:lang w:val="pt-BR"/>
        </w:rPr>
        <w:t>F</w:t>
      </w:r>
      <w:r>
        <w:rPr>
          <w:lang w:val="pt-BR"/>
        </w:rPr>
        <w:t>.</w:t>
      </w:r>
    </w:p>
    <w:p w14:paraId="2F04755E" w14:textId="7043FCFD" w:rsidR="00CC2238" w:rsidRDefault="006342D0" w:rsidP="00D71EB9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r>
        <w:rPr>
          <w:lang w:val="pt-BR"/>
        </w:rPr>
        <w:t xml:space="preserve">O </w:t>
      </w:r>
      <w:r w:rsidR="000715FA">
        <w:rPr>
          <w:lang w:val="pt-BR"/>
        </w:rPr>
        <w:t>ator</w:t>
      </w:r>
      <w:r>
        <w:rPr>
          <w:lang w:val="pt-BR"/>
        </w:rPr>
        <w:t xml:space="preserve"> </w:t>
      </w:r>
      <w:r w:rsidR="00BC60E7">
        <w:rPr>
          <w:lang w:val="pt-BR"/>
        </w:rPr>
        <w:t>informa</w:t>
      </w:r>
      <w:r w:rsidR="00CC2238">
        <w:rPr>
          <w:lang w:val="pt-BR"/>
        </w:rPr>
        <w:t xml:space="preserve"> </w:t>
      </w:r>
      <w:r w:rsidR="00425B48">
        <w:rPr>
          <w:lang w:val="pt-BR"/>
        </w:rPr>
        <w:t>o</w:t>
      </w:r>
      <w:r w:rsidR="008E2927">
        <w:rPr>
          <w:lang w:val="pt-BR"/>
        </w:rPr>
        <w:t xml:space="preserve"> código recebido</w:t>
      </w:r>
      <w:r w:rsidR="00425B48">
        <w:rPr>
          <w:lang w:val="pt-BR"/>
        </w:rPr>
        <w:t xml:space="preserve"> no correio eletrônico</w:t>
      </w:r>
      <w:r w:rsidR="00B50C5D">
        <w:rPr>
          <w:lang w:val="pt-BR"/>
        </w:rPr>
        <w:t>.</w:t>
      </w:r>
      <w:bookmarkStart w:id="16" w:name="_GoBack"/>
      <w:bookmarkEnd w:id="16"/>
    </w:p>
    <w:p w14:paraId="59176DB0" w14:textId="51F382D7" w:rsidR="006D61B8" w:rsidRPr="00D03BAA" w:rsidRDefault="00CC2238" w:rsidP="00CC2238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r>
        <w:rPr>
          <w:lang w:val="pt-BR"/>
        </w:rPr>
        <w:t>O sistema valida se</w:t>
      </w:r>
      <w:r w:rsidR="00425B48">
        <w:rPr>
          <w:lang w:val="pt-BR"/>
        </w:rPr>
        <w:t xml:space="preserve"> a informação registrada é correta</w:t>
      </w:r>
      <w:r w:rsidR="007C3191">
        <w:rPr>
          <w:lang w:val="pt-BR"/>
        </w:rPr>
        <w:t xml:space="preserve"> (DE</w:t>
      </w:r>
      <w:r w:rsidR="00065678">
        <w:rPr>
          <w:lang w:val="pt-BR"/>
        </w:rPr>
        <w:t>F</w:t>
      </w:r>
      <w:r w:rsidR="007C3191">
        <w:rPr>
          <w:lang w:val="pt-BR"/>
        </w:rPr>
        <w:t>FE001)</w:t>
      </w:r>
      <w:r w:rsidR="00425B48">
        <w:rPr>
          <w:lang w:val="pt-BR"/>
        </w:rPr>
        <w:t>.</w:t>
      </w:r>
      <w:r w:rsidR="00D03BAA">
        <w:rPr>
          <w:lang w:val="pt-BR"/>
        </w:rPr>
        <w:t xml:space="preserve"> </w:t>
      </w:r>
      <w:r w:rsidR="00D03BAA" w:rsidRPr="00D03BAA">
        <w:t>DEFRN0033</w:t>
      </w:r>
    </w:p>
    <w:p w14:paraId="1F246195" w14:textId="57CE0C14" w:rsidR="00D03BAA" w:rsidRDefault="00D03BAA" w:rsidP="00CC2238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 w:rsidR="000809C4">
        <w:t>habilita</w:t>
      </w:r>
      <w:proofErr w:type="spellEnd"/>
      <w:r w:rsidR="000809C4">
        <w:t xml:space="preserve"> o </w:t>
      </w:r>
      <w:proofErr w:type="spellStart"/>
      <w:r w:rsidR="000809C4">
        <w:t>acesso</w:t>
      </w:r>
      <w:proofErr w:type="spellEnd"/>
      <w:r w:rsidR="000809C4">
        <w:t xml:space="preserve"> </w:t>
      </w:r>
      <w:proofErr w:type="spellStart"/>
      <w:r w:rsidR="000809C4">
        <w:t>ao</w:t>
      </w:r>
      <w:proofErr w:type="spellEnd"/>
      <w:r w:rsidR="000809C4">
        <w:t xml:space="preserve"> DEF</w:t>
      </w:r>
      <w:r>
        <w:t>.</w:t>
      </w:r>
    </w:p>
    <w:p w14:paraId="72D7F145" w14:textId="2FF5EA59" w:rsidR="001767EA" w:rsidRDefault="00425B48" w:rsidP="00D71EB9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r>
        <w:rPr>
          <w:lang w:val="pt-BR"/>
        </w:rPr>
        <w:t xml:space="preserve">O </w:t>
      </w:r>
      <w:r w:rsidR="007C3191">
        <w:rPr>
          <w:lang w:val="pt-BR"/>
        </w:rPr>
        <w:t>sistema emite</w:t>
      </w:r>
      <w:r>
        <w:rPr>
          <w:lang w:val="pt-BR"/>
        </w:rPr>
        <w:t xml:space="preserve"> uma mensagem </w:t>
      </w:r>
      <w:r w:rsidR="007777BE">
        <w:rPr>
          <w:lang w:val="pt-BR"/>
        </w:rPr>
        <w:t>da operação realizada com sucesso</w:t>
      </w:r>
      <w:r w:rsidR="000809C4">
        <w:rPr>
          <w:lang w:val="pt-BR"/>
        </w:rPr>
        <w:t xml:space="preserve">, habilita a permissão de acesso e redireciona para </w:t>
      </w:r>
      <w:r w:rsidR="005E5224">
        <w:rPr>
          <w:lang w:val="pt-BR"/>
        </w:rPr>
        <w:t>o domicílio eletrônico</w:t>
      </w:r>
      <w:r w:rsidR="007C3191">
        <w:rPr>
          <w:lang w:val="pt-BR"/>
        </w:rPr>
        <w:t>.</w:t>
      </w:r>
      <w:r w:rsidR="00D03BAA">
        <w:rPr>
          <w:lang w:val="pt-BR"/>
        </w:rPr>
        <w:t xml:space="preserve"> </w:t>
      </w:r>
      <w:r w:rsidR="00D03BAA" w:rsidRPr="00D03BAA">
        <w:t>DEFRN0034</w:t>
      </w:r>
      <w:r w:rsidR="009F5C7A">
        <w:t>.</w:t>
      </w:r>
    </w:p>
    <w:p w14:paraId="614FD954" w14:textId="13349A25" w:rsidR="00116F41" w:rsidRPr="00D71EB9" w:rsidRDefault="00D71EB9" w:rsidP="00D71EB9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r>
        <w:rPr>
          <w:lang w:val="pt-BR"/>
        </w:rPr>
        <w:t>Termina o caso de uso</w:t>
      </w:r>
      <w:r w:rsidR="00B5216B">
        <w:rPr>
          <w:lang w:val="pt-BR"/>
        </w:rPr>
        <w:t>.</w:t>
      </w:r>
    </w:p>
    <w:p w14:paraId="4F514FB2" w14:textId="77777777" w:rsidR="00483110" w:rsidRDefault="00483110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7" w:name="_Toc463533571"/>
      <w:r w:rsidRPr="00D71EB9">
        <w:rPr>
          <w:rFonts w:eastAsia="ヒラギノ角ゴ Pro W3"/>
          <w:snapToGrid/>
          <w:lang w:val="pt-BR" w:eastAsia="ja-JP"/>
        </w:rPr>
        <w:t>Fluxos Alternativos</w:t>
      </w:r>
      <w:bookmarkEnd w:id="13"/>
      <w:bookmarkEnd w:id="17"/>
    </w:p>
    <w:p w14:paraId="7D6B33E1" w14:textId="77777777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14:paraId="14B2453D" w14:textId="77777777" w:rsidR="001F5AAB" w:rsidRDefault="001F5AAB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8" w:name="_Toc408584587"/>
      <w:bookmarkStart w:id="19" w:name="_Toc463533572"/>
      <w:bookmarkStart w:id="20" w:name="_Toc101248486"/>
      <w:bookmarkStart w:id="21" w:name="_Toc102377891"/>
      <w:bookmarkEnd w:id="12"/>
      <w:bookmarkEnd w:id="14"/>
      <w:bookmarkEnd w:id="15"/>
      <w:r w:rsidRPr="00D71EB9">
        <w:rPr>
          <w:rFonts w:eastAsia="ヒラギノ角ゴ Pro W3"/>
          <w:snapToGrid/>
          <w:lang w:val="pt-BR" w:eastAsia="ja-JP"/>
        </w:rPr>
        <w:t>Fluxos de Exceção</w:t>
      </w:r>
      <w:bookmarkEnd w:id="18"/>
      <w:bookmarkEnd w:id="19"/>
    </w:p>
    <w:p w14:paraId="1616EA70" w14:textId="77777777" w:rsidR="006E65E5" w:rsidRDefault="006E65E5" w:rsidP="006E65E5">
      <w:pPr>
        <w:pStyle w:val="PargrafodaLista"/>
        <w:numPr>
          <w:ilvl w:val="0"/>
          <w:numId w:val="36"/>
        </w:numPr>
        <w:spacing w:before="120"/>
        <w:ind w:left="1134"/>
        <w:contextualSpacing w:val="0"/>
        <w:jc w:val="both"/>
        <w:rPr>
          <w:lang w:val="pt-BR"/>
        </w:rPr>
      </w:pPr>
      <w:r w:rsidRPr="0023455D">
        <w:rPr>
          <w:lang w:val="pt-BR"/>
        </w:rPr>
        <w:t>DE</w:t>
      </w:r>
      <w:r w:rsidR="00065678">
        <w:rPr>
          <w:lang w:val="pt-BR"/>
        </w:rPr>
        <w:t>F</w:t>
      </w:r>
      <w:r w:rsidRPr="0023455D">
        <w:rPr>
          <w:lang w:val="pt-BR"/>
        </w:rPr>
        <w:t>FE00</w:t>
      </w:r>
      <w:r>
        <w:rPr>
          <w:lang w:val="pt-BR"/>
        </w:rPr>
        <w:t>1</w:t>
      </w:r>
      <w:r w:rsidR="00334FC8">
        <w:rPr>
          <w:lang w:val="pt-BR"/>
        </w:rPr>
        <w:t xml:space="preserve"> </w:t>
      </w:r>
      <w:r w:rsidRPr="0023455D">
        <w:rPr>
          <w:lang w:val="pt-BR"/>
        </w:rPr>
        <w:t xml:space="preserve">- O </w:t>
      </w:r>
      <w:r w:rsidR="007C3191">
        <w:rPr>
          <w:lang w:val="pt-BR"/>
        </w:rPr>
        <w:t>código registrado não é correto</w:t>
      </w:r>
    </w:p>
    <w:p w14:paraId="082C83C9" w14:textId="5218D98B" w:rsidR="00035824" w:rsidRPr="00035824" w:rsidRDefault="00035824" w:rsidP="00035824">
      <w:pPr>
        <w:spacing w:before="120"/>
        <w:ind w:left="774"/>
        <w:jc w:val="both"/>
        <w:rPr>
          <w:lang w:val="pt-BR"/>
        </w:rPr>
      </w:pPr>
      <w:r>
        <w:rPr>
          <w:lang w:val="pt-BR"/>
        </w:rPr>
        <w:t xml:space="preserve">Fluxo inicia quando o sistema valida o </w:t>
      </w:r>
      <w:r w:rsidR="00926C2B">
        <w:rPr>
          <w:lang w:val="pt-BR"/>
        </w:rPr>
        <w:t>código</w:t>
      </w:r>
      <w:r>
        <w:rPr>
          <w:lang w:val="pt-BR"/>
        </w:rPr>
        <w:t xml:space="preserve"> e não identifica na base de dados.</w:t>
      </w:r>
    </w:p>
    <w:p w14:paraId="2EC8793B" w14:textId="77777777" w:rsidR="006E65E5" w:rsidRPr="0023455D" w:rsidRDefault="006E65E5" w:rsidP="006E65E5">
      <w:pPr>
        <w:pStyle w:val="Corpodetexto"/>
        <w:keepLines w:val="0"/>
        <w:widowControl/>
        <w:numPr>
          <w:ilvl w:val="1"/>
          <w:numId w:val="37"/>
        </w:numPr>
        <w:autoSpaceDE/>
        <w:autoSpaceDN/>
        <w:spacing w:before="120"/>
        <w:ind w:left="1418"/>
        <w:jc w:val="both"/>
        <w:rPr>
          <w:lang w:val="pt-BR"/>
        </w:rPr>
      </w:pPr>
      <w:r w:rsidRPr="0023455D">
        <w:rPr>
          <w:lang w:val="pt-BR"/>
        </w:rPr>
        <w:t xml:space="preserve">O sistema gera uma mensagem para o </w:t>
      </w:r>
      <w:r w:rsidR="000715FA">
        <w:rPr>
          <w:lang w:val="pt-BR"/>
        </w:rPr>
        <w:t>ator</w:t>
      </w:r>
      <w:r w:rsidRPr="006E65E5">
        <w:rPr>
          <w:lang w:val="pt-BR"/>
        </w:rPr>
        <w:t xml:space="preserve">, </w:t>
      </w:r>
      <w:r w:rsidRPr="0023455D">
        <w:rPr>
          <w:lang w:val="pt-BR"/>
        </w:rPr>
        <w:t>indicando o erro com a mensagem</w:t>
      </w:r>
      <w:r w:rsidR="007777BE" w:rsidRPr="007777BE">
        <w:t xml:space="preserve"> </w:t>
      </w:r>
      <w:r w:rsidR="007777BE">
        <w:t>DEFMSG0012</w:t>
      </w:r>
      <w:r w:rsidRPr="0023455D">
        <w:rPr>
          <w:lang w:val="pt-BR"/>
        </w:rPr>
        <w:t>.</w:t>
      </w:r>
    </w:p>
    <w:p w14:paraId="5BDFA3A6" w14:textId="77777777" w:rsidR="006E65E5" w:rsidRPr="0023455D" w:rsidRDefault="006E65E5" w:rsidP="006E65E5">
      <w:pPr>
        <w:pStyle w:val="Corpodetexto"/>
        <w:keepLines w:val="0"/>
        <w:widowControl/>
        <w:numPr>
          <w:ilvl w:val="1"/>
          <w:numId w:val="37"/>
        </w:numPr>
        <w:autoSpaceDE/>
        <w:autoSpaceDN/>
        <w:spacing w:before="120"/>
        <w:ind w:left="1418"/>
        <w:jc w:val="both"/>
        <w:rPr>
          <w:lang w:val="pt-BR"/>
        </w:rPr>
      </w:pPr>
      <w:r w:rsidRPr="0023455D">
        <w:rPr>
          <w:lang w:val="pt-BR"/>
        </w:rPr>
        <w:t>Termina o caso de uso.</w:t>
      </w:r>
    </w:p>
    <w:p w14:paraId="2D9601A1" w14:textId="77777777" w:rsidR="00982A1C" w:rsidRDefault="00982A1C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2" w:name="_Toc408584583"/>
      <w:bookmarkStart w:id="23" w:name="_Toc463533573"/>
      <w:r w:rsidRPr="00D71EB9">
        <w:rPr>
          <w:rFonts w:eastAsia="ヒラギノ角ゴ Pro W3"/>
          <w:snapToGrid/>
          <w:lang w:val="pt-BR" w:eastAsia="ja-JP"/>
        </w:rPr>
        <w:t>Pós-condição</w:t>
      </w:r>
      <w:bookmarkEnd w:id="22"/>
      <w:bookmarkEnd w:id="23"/>
    </w:p>
    <w:p w14:paraId="2964C630" w14:textId="289C809B" w:rsidR="00D65632" w:rsidRPr="00671726" w:rsidRDefault="00D65632" w:rsidP="00671726">
      <w:pPr>
        <w:rPr>
          <w:lang w:val="pt-BR" w:eastAsia="ja-JP"/>
        </w:rPr>
      </w:pPr>
      <w:r>
        <w:rPr>
          <w:lang w:val="pt-BR" w:eastAsia="ja-JP"/>
        </w:rPr>
        <w:t>Apresentar a tela inicial do DEF</w:t>
      </w:r>
    </w:p>
    <w:p w14:paraId="3BB533DF" w14:textId="18819B03" w:rsidR="0049663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4" w:name="_Toc101248490"/>
      <w:bookmarkStart w:id="25" w:name="_Toc102377895"/>
      <w:bookmarkStart w:id="26" w:name="_Toc408584588"/>
      <w:bookmarkStart w:id="27" w:name="_Toc463533574"/>
      <w:bookmarkEnd w:id="20"/>
      <w:bookmarkEnd w:id="21"/>
      <w:r w:rsidRPr="00D71EB9">
        <w:rPr>
          <w:rFonts w:eastAsia="ヒラギノ角ゴ Pro W3"/>
          <w:snapToGrid/>
          <w:lang w:val="pt-BR" w:eastAsia="ja-JP"/>
        </w:rPr>
        <w:t>Requisitos Especiais</w:t>
      </w:r>
      <w:bookmarkEnd w:id="24"/>
      <w:bookmarkEnd w:id="25"/>
      <w:bookmarkEnd w:id="26"/>
      <w:bookmarkEnd w:id="27"/>
    </w:p>
    <w:p w14:paraId="3193C602" w14:textId="77777777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14:paraId="0D2005F5" w14:textId="77777777" w:rsidR="004B0EC5" w:rsidRDefault="001B6DD2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8" w:name="_Toc463533575"/>
      <w:r w:rsidRPr="00D71EB9">
        <w:rPr>
          <w:rFonts w:eastAsia="ヒラギノ角ゴ Pro W3"/>
          <w:snapToGrid/>
          <w:lang w:val="pt-BR" w:eastAsia="ja-JP"/>
        </w:rPr>
        <w:lastRenderedPageBreak/>
        <w:t xml:space="preserve">Layout </w:t>
      </w:r>
      <w:r w:rsidR="00F17A77" w:rsidRPr="00D71EB9">
        <w:rPr>
          <w:rFonts w:eastAsia="ヒラギノ角ゴ Pro W3"/>
          <w:snapToGrid/>
          <w:lang w:val="pt-BR" w:eastAsia="ja-JP"/>
        </w:rPr>
        <w:t xml:space="preserve">das </w:t>
      </w:r>
      <w:r w:rsidRPr="00D71EB9">
        <w:rPr>
          <w:rFonts w:eastAsia="ヒラギノ角ゴ Pro W3"/>
          <w:snapToGrid/>
          <w:lang w:val="pt-BR" w:eastAsia="ja-JP"/>
        </w:rPr>
        <w:t>Páginas de Entrada ou Saída</w:t>
      </w:r>
      <w:bookmarkEnd w:id="28"/>
    </w:p>
    <w:p w14:paraId="20914992" w14:textId="11E8438A" w:rsidR="00740B09" w:rsidRDefault="008E2927" w:rsidP="00D71EB9">
      <w:pPr>
        <w:rPr>
          <w:rFonts w:eastAsia="ヒラギノ角ゴ Pro W3"/>
          <w:lang w:val="pt-BR" w:eastAsia="ja-JP"/>
        </w:rPr>
      </w:pPr>
      <w:r w:rsidRPr="008E2927">
        <w:rPr>
          <w:noProof/>
          <w:snapToGrid/>
          <w:lang w:val="pt-BR" w:eastAsia="pt-BR"/>
        </w:rPr>
        <w:drawing>
          <wp:inline distT="0" distB="0" distL="0" distR="0" wp14:anchorId="65D126F1" wp14:editId="4FE6B04F">
            <wp:extent cx="5732145" cy="1340192"/>
            <wp:effectExtent l="0" t="0" r="1905" b="0"/>
            <wp:docPr id="3" name="Imagem 3" descr="C:\temp\pmat\DEF-Domicilio Eletrônico Fazendário\Diagramas\UC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pmat\DEF-Domicilio Eletrônico Fazendário\Diagramas\UC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4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BAA" w:rsidRPr="00D03BAA">
        <w:rPr>
          <w:noProof/>
          <w:snapToGrid/>
          <w:lang w:val="pt-BR" w:eastAsia="pt-BR"/>
        </w:rPr>
        <w:t xml:space="preserve"> </w:t>
      </w:r>
    </w:p>
    <w:p w14:paraId="00C0170C" w14:textId="77777777" w:rsidR="00671726" w:rsidRDefault="00671726" w:rsidP="00D71EB9">
      <w:pPr>
        <w:rPr>
          <w:rFonts w:eastAsia="ヒラギノ角ゴ Pro W3"/>
          <w:lang w:val="pt-BR" w:eastAsia="ja-JP"/>
        </w:rPr>
      </w:pPr>
    </w:p>
    <w:sectPr w:rsidR="00671726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20809" w14:textId="77777777" w:rsidR="00BC1883" w:rsidRDefault="00BC1883">
      <w:r>
        <w:separator/>
      </w:r>
    </w:p>
  </w:endnote>
  <w:endnote w:type="continuationSeparator" w:id="0">
    <w:p w14:paraId="6CD38E80" w14:textId="77777777" w:rsidR="00BC1883" w:rsidRDefault="00BC1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249E7" w14:textId="76EF0B7D" w:rsidR="00937972" w:rsidRPr="001F108F" w:rsidRDefault="00BC1883" w:rsidP="009F5C7A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object w:dxaOrig="1440" w:dyaOrig="1440" w14:anchorId="763909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5pt;margin-top:-5.15pt;width:211.25pt;height:35.9pt;z-index:251661312">
          <v:imagedata r:id="rId1" o:title=""/>
        </v:shape>
        <o:OLEObject Type="Embed" ProgID="PBrush" ShapeID="_x0000_s2050" DrawAspect="Content" ObjectID="_1538203893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4937A" w14:textId="77777777" w:rsidR="00BC1883" w:rsidRDefault="00BC1883">
      <w:r>
        <w:separator/>
      </w:r>
    </w:p>
  </w:footnote>
  <w:footnote w:type="continuationSeparator" w:id="0">
    <w:p w14:paraId="6BF5FED0" w14:textId="77777777" w:rsidR="00BC1883" w:rsidRDefault="00BC1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28614" w14:textId="3B455428" w:rsidR="00937972" w:rsidRPr="000A2EDD" w:rsidRDefault="009F5C7A" w:rsidP="009F5C7A">
    <w:pPr>
      <w:pStyle w:val="Cabealho"/>
      <w:ind w:left="0"/>
      <w:jc w:val="center"/>
      <w:rPr>
        <w:color w:val="4F81BD"/>
        <w:sz w:val="18"/>
        <w:szCs w:val="18"/>
      </w:rPr>
    </w:pPr>
    <w:r w:rsidRPr="009F5C7A">
      <w:rPr>
        <w:noProof/>
        <w:color w:val="4F81BD"/>
        <w:sz w:val="18"/>
        <w:szCs w:val="18"/>
        <w:lang w:val="pt-BR" w:eastAsia="pt-BR"/>
      </w:rPr>
      <w:drawing>
        <wp:anchor distT="0" distB="0" distL="114300" distR="114300" simplePos="0" relativeHeight="251663360" behindDoc="1" locked="0" layoutInCell="1" allowOverlap="1" wp14:anchorId="4CBE110C" wp14:editId="3363C693">
          <wp:simplePos x="0" y="0"/>
          <wp:positionH relativeFrom="page">
            <wp:posOffset>-104775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F5C7A">
      <w:rPr>
        <w:noProof/>
        <w:color w:val="4F81BD"/>
        <w:sz w:val="18"/>
        <w:szCs w:val="18"/>
        <w:lang w:val="pt-BR" w:eastAsia="pt-BR"/>
      </w:rPr>
      <w:drawing>
        <wp:anchor distT="0" distB="0" distL="114300" distR="114300" simplePos="0" relativeHeight="251664384" behindDoc="1" locked="0" layoutInCell="1" allowOverlap="1" wp14:anchorId="5F3A988B" wp14:editId="6CF5F924">
          <wp:simplePos x="0" y="0"/>
          <wp:positionH relativeFrom="page">
            <wp:posOffset>-98425</wp:posOffset>
          </wp:positionH>
          <wp:positionV relativeFrom="page">
            <wp:posOffset>76200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7972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19B3BA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BF2EC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8B6D40"/>
    <w:multiLevelType w:val="hybridMultilevel"/>
    <w:tmpl w:val="E76E25C4"/>
    <w:lvl w:ilvl="0" w:tplc="40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1A8513CC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209744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60A745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0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4250345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5">
    <w:nsid w:val="4F1B0EC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AD52925"/>
    <w:multiLevelType w:val="multilevel"/>
    <w:tmpl w:val="9CC6E426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BE753C4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B0B1C15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6"/>
  </w:num>
  <w:num w:numId="5">
    <w:abstractNumId w:val="4"/>
  </w:num>
  <w:num w:numId="6">
    <w:abstractNumId w:val="13"/>
  </w:num>
  <w:num w:numId="7">
    <w:abstractNumId w:val="17"/>
  </w:num>
  <w:num w:numId="8">
    <w:abstractNumId w:val="22"/>
  </w:num>
  <w:num w:numId="9">
    <w:abstractNumId w:val="19"/>
  </w:num>
  <w:num w:numId="10">
    <w:abstractNumId w:val="18"/>
  </w:num>
  <w:num w:numId="11">
    <w:abstractNumId w:val="6"/>
  </w:num>
  <w:num w:numId="12">
    <w:abstractNumId w:val="19"/>
  </w:num>
  <w:num w:numId="13">
    <w:abstractNumId w:val="19"/>
  </w:num>
  <w:num w:numId="14">
    <w:abstractNumId w:val="21"/>
  </w:num>
  <w:num w:numId="15">
    <w:abstractNumId w:val="19"/>
  </w:num>
  <w:num w:numId="16">
    <w:abstractNumId w:val="19"/>
  </w:num>
  <w:num w:numId="17">
    <w:abstractNumId w:val="19"/>
  </w:num>
  <w:num w:numId="18">
    <w:abstractNumId w:val="11"/>
  </w:num>
  <w:num w:numId="19">
    <w:abstractNumId w:val="14"/>
  </w:num>
  <w:num w:numId="20">
    <w:abstractNumId w:val="10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8"/>
  </w:num>
  <w:num w:numId="39">
    <w:abstractNumId w:val="5"/>
  </w:num>
  <w:num w:numId="40">
    <w:abstractNumId w:val="20"/>
  </w:num>
  <w:num w:numId="41">
    <w:abstractNumId w:val="1"/>
  </w:num>
  <w:num w:numId="42">
    <w:abstractNumId w:val="7"/>
  </w:num>
  <w:num w:numId="43">
    <w:abstractNumId w:val="12"/>
  </w:num>
  <w:num w:numId="44">
    <w:abstractNumId w:val="23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1823"/>
    <w:rsid w:val="00035824"/>
    <w:rsid w:val="00035CB2"/>
    <w:rsid w:val="00051F33"/>
    <w:rsid w:val="000621C7"/>
    <w:rsid w:val="00065678"/>
    <w:rsid w:val="000715FA"/>
    <w:rsid w:val="000809C4"/>
    <w:rsid w:val="0008217D"/>
    <w:rsid w:val="00093298"/>
    <w:rsid w:val="000941DB"/>
    <w:rsid w:val="000A12CA"/>
    <w:rsid w:val="000A7584"/>
    <w:rsid w:val="000C0F45"/>
    <w:rsid w:val="000F3269"/>
    <w:rsid w:val="000F539E"/>
    <w:rsid w:val="00112A21"/>
    <w:rsid w:val="001167F1"/>
    <w:rsid w:val="00116F41"/>
    <w:rsid w:val="001240E9"/>
    <w:rsid w:val="00126780"/>
    <w:rsid w:val="0013090F"/>
    <w:rsid w:val="00141C1A"/>
    <w:rsid w:val="00143737"/>
    <w:rsid w:val="001767EA"/>
    <w:rsid w:val="00191072"/>
    <w:rsid w:val="001A2C86"/>
    <w:rsid w:val="001A66FC"/>
    <w:rsid w:val="001B6DD2"/>
    <w:rsid w:val="001C6CF5"/>
    <w:rsid w:val="001D1F8B"/>
    <w:rsid w:val="001D2A2A"/>
    <w:rsid w:val="001E3A7D"/>
    <w:rsid w:val="001F108F"/>
    <w:rsid w:val="001F5AAB"/>
    <w:rsid w:val="001F61F1"/>
    <w:rsid w:val="002027CB"/>
    <w:rsid w:val="002332F5"/>
    <w:rsid w:val="00241A46"/>
    <w:rsid w:val="00244BB3"/>
    <w:rsid w:val="00256B37"/>
    <w:rsid w:val="002669D8"/>
    <w:rsid w:val="002700BE"/>
    <w:rsid w:val="00273374"/>
    <w:rsid w:val="00274EF1"/>
    <w:rsid w:val="00282F80"/>
    <w:rsid w:val="0028503E"/>
    <w:rsid w:val="00297C59"/>
    <w:rsid w:val="002A1834"/>
    <w:rsid w:val="002A5630"/>
    <w:rsid w:val="002B3D27"/>
    <w:rsid w:val="002B43E7"/>
    <w:rsid w:val="002B45AA"/>
    <w:rsid w:val="002D68D6"/>
    <w:rsid w:val="002F1589"/>
    <w:rsid w:val="0031219B"/>
    <w:rsid w:val="00313413"/>
    <w:rsid w:val="00334FC8"/>
    <w:rsid w:val="00356107"/>
    <w:rsid w:val="00362AAC"/>
    <w:rsid w:val="00367BD5"/>
    <w:rsid w:val="00375521"/>
    <w:rsid w:val="00375A5E"/>
    <w:rsid w:val="00386805"/>
    <w:rsid w:val="003D2337"/>
    <w:rsid w:val="003D621E"/>
    <w:rsid w:val="003F2F38"/>
    <w:rsid w:val="003F5576"/>
    <w:rsid w:val="00407CB6"/>
    <w:rsid w:val="00410BBB"/>
    <w:rsid w:val="0041232C"/>
    <w:rsid w:val="00413B6F"/>
    <w:rsid w:val="00425429"/>
    <w:rsid w:val="00425B48"/>
    <w:rsid w:val="004271F2"/>
    <w:rsid w:val="00427C0D"/>
    <w:rsid w:val="004355E3"/>
    <w:rsid w:val="00437F2A"/>
    <w:rsid w:val="00441C85"/>
    <w:rsid w:val="00445E12"/>
    <w:rsid w:val="0045775B"/>
    <w:rsid w:val="00477816"/>
    <w:rsid w:val="004819BD"/>
    <w:rsid w:val="00483110"/>
    <w:rsid w:val="00484BF5"/>
    <w:rsid w:val="00491B78"/>
    <w:rsid w:val="0049353B"/>
    <w:rsid w:val="00493557"/>
    <w:rsid w:val="00496636"/>
    <w:rsid w:val="004B0EC5"/>
    <w:rsid w:val="004B4CB2"/>
    <w:rsid w:val="004B4CDF"/>
    <w:rsid w:val="004C3582"/>
    <w:rsid w:val="004D632C"/>
    <w:rsid w:val="00517DAA"/>
    <w:rsid w:val="0052112A"/>
    <w:rsid w:val="0052113E"/>
    <w:rsid w:val="00522BE9"/>
    <w:rsid w:val="0053187A"/>
    <w:rsid w:val="005376A9"/>
    <w:rsid w:val="005423EC"/>
    <w:rsid w:val="0055581E"/>
    <w:rsid w:val="00557623"/>
    <w:rsid w:val="00560BBD"/>
    <w:rsid w:val="0056205D"/>
    <w:rsid w:val="005679A7"/>
    <w:rsid w:val="00571D04"/>
    <w:rsid w:val="0057275D"/>
    <w:rsid w:val="0058089C"/>
    <w:rsid w:val="00597570"/>
    <w:rsid w:val="005A751D"/>
    <w:rsid w:val="005B0CD7"/>
    <w:rsid w:val="005B2554"/>
    <w:rsid w:val="005B3508"/>
    <w:rsid w:val="005B5017"/>
    <w:rsid w:val="005D6C9F"/>
    <w:rsid w:val="005E196D"/>
    <w:rsid w:val="005E4EEE"/>
    <w:rsid w:val="005E5224"/>
    <w:rsid w:val="005F57F3"/>
    <w:rsid w:val="005F592B"/>
    <w:rsid w:val="006027B2"/>
    <w:rsid w:val="00607DFD"/>
    <w:rsid w:val="00623B30"/>
    <w:rsid w:val="0063171B"/>
    <w:rsid w:val="006342D0"/>
    <w:rsid w:val="006516CB"/>
    <w:rsid w:val="00653AB6"/>
    <w:rsid w:val="00656C2D"/>
    <w:rsid w:val="006571B1"/>
    <w:rsid w:val="00671726"/>
    <w:rsid w:val="00683531"/>
    <w:rsid w:val="00690748"/>
    <w:rsid w:val="006A6045"/>
    <w:rsid w:val="006B1C5D"/>
    <w:rsid w:val="006C1336"/>
    <w:rsid w:val="006C63AF"/>
    <w:rsid w:val="006D61B8"/>
    <w:rsid w:val="006E1426"/>
    <w:rsid w:val="006E528C"/>
    <w:rsid w:val="006E65E5"/>
    <w:rsid w:val="00700CE4"/>
    <w:rsid w:val="00715BEB"/>
    <w:rsid w:val="0072262C"/>
    <w:rsid w:val="00725CD0"/>
    <w:rsid w:val="00733580"/>
    <w:rsid w:val="00740B09"/>
    <w:rsid w:val="00741E9E"/>
    <w:rsid w:val="00745E79"/>
    <w:rsid w:val="00746CF2"/>
    <w:rsid w:val="0077393B"/>
    <w:rsid w:val="0077726F"/>
    <w:rsid w:val="007777BE"/>
    <w:rsid w:val="00792FF3"/>
    <w:rsid w:val="007B27CA"/>
    <w:rsid w:val="007C3191"/>
    <w:rsid w:val="007D24FE"/>
    <w:rsid w:val="007E615A"/>
    <w:rsid w:val="00800176"/>
    <w:rsid w:val="00801C1A"/>
    <w:rsid w:val="008326D5"/>
    <w:rsid w:val="00834F4F"/>
    <w:rsid w:val="00857A9A"/>
    <w:rsid w:val="00884BDB"/>
    <w:rsid w:val="00885A3B"/>
    <w:rsid w:val="008C0453"/>
    <w:rsid w:val="008C5D42"/>
    <w:rsid w:val="008D0D26"/>
    <w:rsid w:val="008D76C5"/>
    <w:rsid w:val="008E2927"/>
    <w:rsid w:val="008E2B71"/>
    <w:rsid w:val="008E2D79"/>
    <w:rsid w:val="008E4463"/>
    <w:rsid w:val="008F2B3C"/>
    <w:rsid w:val="00906997"/>
    <w:rsid w:val="00911258"/>
    <w:rsid w:val="00923E36"/>
    <w:rsid w:val="00926C2B"/>
    <w:rsid w:val="00933500"/>
    <w:rsid w:val="009345F9"/>
    <w:rsid w:val="00937972"/>
    <w:rsid w:val="00947BCB"/>
    <w:rsid w:val="00950247"/>
    <w:rsid w:val="00982A1C"/>
    <w:rsid w:val="009C6BF0"/>
    <w:rsid w:val="009D118F"/>
    <w:rsid w:val="009D1DD7"/>
    <w:rsid w:val="009D43CD"/>
    <w:rsid w:val="009E0DCD"/>
    <w:rsid w:val="009F2AA9"/>
    <w:rsid w:val="009F5C7A"/>
    <w:rsid w:val="00A10A7B"/>
    <w:rsid w:val="00A17FD0"/>
    <w:rsid w:val="00A31640"/>
    <w:rsid w:val="00A81D31"/>
    <w:rsid w:val="00A96639"/>
    <w:rsid w:val="00AA3891"/>
    <w:rsid w:val="00AA69FA"/>
    <w:rsid w:val="00AC75A7"/>
    <w:rsid w:val="00AD46A9"/>
    <w:rsid w:val="00AD7479"/>
    <w:rsid w:val="00AE050A"/>
    <w:rsid w:val="00AF3C08"/>
    <w:rsid w:val="00B00645"/>
    <w:rsid w:val="00B10619"/>
    <w:rsid w:val="00B16107"/>
    <w:rsid w:val="00B20B75"/>
    <w:rsid w:val="00B36312"/>
    <w:rsid w:val="00B413B5"/>
    <w:rsid w:val="00B4167B"/>
    <w:rsid w:val="00B50C5D"/>
    <w:rsid w:val="00B5216B"/>
    <w:rsid w:val="00B6349D"/>
    <w:rsid w:val="00B72810"/>
    <w:rsid w:val="00B731F5"/>
    <w:rsid w:val="00B8331A"/>
    <w:rsid w:val="00B871B5"/>
    <w:rsid w:val="00BB07C7"/>
    <w:rsid w:val="00BB5E3C"/>
    <w:rsid w:val="00BC1883"/>
    <w:rsid w:val="00BC60E7"/>
    <w:rsid w:val="00BE1A74"/>
    <w:rsid w:val="00BF1F5B"/>
    <w:rsid w:val="00BF3AE4"/>
    <w:rsid w:val="00BF5AE6"/>
    <w:rsid w:val="00C004D3"/>
    <w:rsid w:val="00C008DA"/>
    <w:rsid w:val="00C063DC"/>
    <w:rsid w:val="00C17C42"/>
    <w:rsid w:val="00C24FCD"/>
    <w:rsid w:val="00C333D8"/>
    <w:rsid w:val="00C4141B"/>
    <w:rsid w:val="00C62C0D"/>
    <w:rsid w:val="00C66F0C"/>
    <w:rsid w:val="00C74BE7"/>
    <w:rsid w:val="00C80D41"/>
    <w:rsid w:val="00C953F9"/>
    <w:rsid w:val="00CB0CE3"/>
    <w:rsid w:val="00CB5045"/>
    <w:rsid w:val="00CB66AC"/>
    <w:rsid w:val="00CC2238"/>
    <w:rsid w:val="00CD4D50"/>
    <w:rsid w:val="00CD5F44"/>
    <w:rsid w:val="00CF3BD1"/>
    <w:rsid w:val="00CF60E9"/>
    <w:rsid w:val="00D01EE0"/>
    <w:rsid w:val="00D03BAA"/>
    <w:rsid w:val="00D21244"/>
    <w:rsid w:val="00D31D0F"/>
    <w:rsid w:val="00D33A8A"/>
    <w:rsid w:val="00D44D3F"/>
    <w:rsid w:val="00D65632"/>
    <w:rsid w:val="00D6604E"/>
    <w:rsid w:val="00D71EB9"/>
    <w:rsid w:val="00D76696"/>
    <w:rsid w:val="00DA2F7C"/>
    <w:rsid w:val="00DB3FDF"/>
    <w:rsid w:val="00DB64F3"/>
    <w:rsid w:val="00DB757C"/>
    <w:rsid w:val="00DC0F10"/>
    <w:rsid w:val="00DD675E"/>
    <w:rsid w:val="00DD7484"/>
    <w:rsid w:val="00E003B1"/>
    <w:rsid w:val="00E0269B"/>
    <w:rsid w:val="00E135A4"/>
    <w:rsid w:val="00E15ABA"/>
    <w:rsid w:val="00E16351"/>
    <w:rsid w:val="00E37FBB"/>
    <w:rsid w:val="00E6009E"/>
    <w:rsid w:val="00E63FA6"/>
    <w:rsid w:val="00E67E92"/>
    <w:rsid w:val="00E70039"/>
    <w:rsid w:val="00E87505"/>
    <w:rsid w:val="00E91BCD"/>
    <w:rsid w:val="00EA4132"/>
    <w:rsid w:val="00EB43E7"/>
    <w:rsid w:val="00EB4603"/>
    <w:rsid w:val="00EB6CA8"/>
    <w:rsid w:val="00EC5424"/>
    <w:rsid w:val="00EC7AB4"/>
    <w:rsid w:val="00ED4424"/>
    <w:rsid w:val="00F01650"/>
    <w:rsid w:val="00F02621"/>
    <w:rsid w:val="00F04237"/>
    <w:rsid w:val="00F125C7"/>
    <w:rsid w:val="00F17A77"/>
    <w:rsid w:val="00F32D99"/>
    <w:rsid w:val="00F34695"/>
    <w:rsid w:val="00F36F87"/>
    <w:rsid w:val="00F73DFB"/>
    <w:rsid w:val="00F84C84"/>
    <w:rsid w:val="00F8614C"/>
    <w:rsid w:val="00FA4034"/>
    <w:rsid w:val="00FB386F"/>
    <w:rsid w:val="00FB5EE6"/>
    <w:rsid w:val="00FC5155"/>
    <w:rsid w:val="00FD0B5F"/>
    <w:rsid w:val="00FD35BF"/>
    <w:rsid w:val="00FD37D2"/>
    <w:rsid w:val="00FD73D6"/>
    <w:rsid w:val="00F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D23886F"/>
  <w15:docId w15:val="{190836BC-8D34-43EE-89D9-C6733C63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A96639"/>
    <w:pPr>
      <w:keepNext/>
      <w:numPr>
        <w:numId w:val="9"/>
      </w:numPr>
      <w:spacing w:before="12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671726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334FC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34FC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34FC8"/>
    <w:rPr>
      <w:rFonts w:ascii="Calibri" w:hAnsi="Calibri"/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34FC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34FC8"/>
    <w:rPr>
      <w:rFonts w:ascii="Calibri" w:hAnsi="Calibri"/>
      <w:b/>
      <w:b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B71A3-9F2E-402A-B29B-8FA2952F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351</TotalTime>
  <Pages>5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DEC</vt:lpstr>
    </vt:vector>
  </TitlesOfParts>
  <Company>CIAT</Company>
  <LinksUpToDate>false</LinksUpToDate>
  <CharactersWithSpaces>2792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DEC</dc:title>
  <dc:subject>DOMICILIO ELECTRONICO DO CONTRIBUINTE</dc:subject>
  <dc:creator>Roberto Pereira Stambuk</dc:creator>
  <cp:lastModifiedBy>Cristiano Casaril</cp:lastModifiedBy>
  <cp:revision>29</cp:revision>
  <cp:lastPrinted>2001-03-15T17:26:00Z</cp:lastPrinted>
  <dcterms:created xsi:type="dcterms:W3CDTF">2016-01-07T00:50:00Z</dcterms:created>
  <dcterms:modified xsi:type="dcterms:W3CDTF">2016-10-17T13:05:00Z</dcterms:modified>
</cp:coreProperties>
</file>