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AD5A74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bookmarkStart w:id="0" w:name="_GoBack"/>
      <w:bookmarkEnd w:id="0"/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</w:t>
      </w:r>
      <w:r w:rsidR="0080613C">
        <w:rPr>
          <w:b/>
          <w:iCs/>
          <w:snapToGrid/>
          <w:spacing w:val="15"/>
          <w:sz w:val="28"/>
          <w:szCs w:val="28"/>
          <w:lang w:val="pt-BR" w:eastAsia="ja-JP"/>
        </w:rPr>
        <w:t>Comunicação Eletrônica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644431">
        <w:rPr>
          <w:b/>
          <w:iCs/>
          <w:snapToGrid/>
          <w:spacing w:val="15"/>
          <w:sz w:val="28"/>
          <w:szCs w:val="28"/>
          <w:lang w:val="pt-BR" w:eastAsia="ja-JP"/>
        </w:rPr>
        <w:t>SCE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44431">
        <w:rPr>
          <w:rFonts w:eastAsia="ヒラギノ角ゴ Pro W3"/>
          <w:b/>
          <w:bCs/>
          <w:iCs/>
          <w:snapToGrid/>
          <w:szCs w:val="24"/>
          <w:lang w:val="pt-BR" w:eastAsia="ja-JP"/>
        </w:rPr>
        <w:t>SC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EUC00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44431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Consulta</w:t>
      </w:r>
      <w:r w:rsidR="00644431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44431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omunicações com os </w:t>
      </w:r>
      <w:r w:rsidR="00644431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ontribuintes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80613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0D00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0F65F0" w:rsidP="000D0060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F65F0">
              <w:rPr>
                <w:color w:val="000000"/>
                <w:lang w:val="pt-BR"/>
              </w:rPr>
              <w:t>1</w:t>
            </w:r>
            <w:r w:rsidR="00126782" w:rsidRPr="000F65F0">
              <w:rPr>
                <w:color w:val="000000"/>
                <w:lang w:val="pt-BR"/>
              </w:rPr>
              <w:t>2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2F1589" w:rsidP="00644431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F2F8F" w:rsidP="00644431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0D00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B91F6B" w:rsidP="000D0060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B91F6B" w:rsidP="00644431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B91F6B" w:rsidP="00644431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44431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44431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44431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44431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44431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644431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:rsidR="000F5A48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8500" w:history="1">
        <w:r w:rsidR="000F5A48" w:rsidRPr="003A2486">
          <w:rPr>
            <w:rStyle w:val="Hyperlink"/>
            <w:noProof/>
            <w:lang w:val="pt-BR"/>
          </w:rPr>
          <w:t>1.</w:t>
        </w:r>
        <w:r w:rsidR="000F5A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SCEUC0003 - Consultar Comunicações com os Contribuintes.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_Toc448218500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4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1" w:history="1">
        <w:r w:rsidR="000F5A48" w:rsidRPr="003A2486">
          <w:rPr>
            <w:rStyle w:val="Hyperlink"/>
            <w:noProof/>
            <w:lang w:val="pt-BR"/>
          </w:rPr>
          <w:t>1.1.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Descrição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_Toc448218501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4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2" w:history="1">
        <w:r w:rsidR="000F5A48" w:rsidRPr="003A2486">
          <w:rPr>
            <w:rStyle w:val="Hyperlink"/>
            <w:noProof/>
            <w:lang w:val="pt-BR"/>
          </w:rPr>
          <w:t>1.2.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Atores Envolvidos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_Toc448218502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4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3" w:history="1">
        <w:r w:rsidR="000F5A48" w:rsidRPr="003A2486">
          <w:rPr>
            <w:rStyle w:val="Hyperlink"/>
            <w:noProof/>
            <w:lang w:val="pt-BR"/>
          </w:rPr>
          <w:t>1.3.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Diagrama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_Toc448218503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4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4" w:history="1">
        <w:r w:rsidR="000F5A48" w:rsidRPr="003A2486">
          <w:rPr>
            <w:rStyle w:val="Hyperlink"/>
            <w:noProof/>
            <w:lang w:val="pt-BR"/>
          </w:rPr>
          <w:t>1.4.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Pré-condições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_Toc448218504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4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5" w:history="1">
        <w:r w:rsidR="000F5A48" w:rsidRPr="003A2486">
          <w:rPr>
            <w:rStyle w:val="Hyperlink"/>
            <w:noProof/>
            <w:lang w:val="pt-BR"/>
          </w:rPr>
          <w:t>1.5.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Fluxo Principal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_Toc448218505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4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6" w:history="1">
        <w:r w:rsidR="000F5A48" w:rsidRPr="003A2486">
          <w:rPr>
            <w:rStyle w:val="Hyperlink"/>
            <w:noProof/>
            <w:lang w:val="pt-BR"/>
          </w:rPr>
          <w:t>1.6.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Fluxos Alternativos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_Toc448218506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5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7" w:history="1">
        <w:r w:rsidR="000F5A48" w:rsidRPr="003A2486">
          <w:rPr>
            <w:rStyle w:val="Hyperlink"/>
            <w:noProof/>
            <w:lang w:val="pt-BR"/>
          </w:rPr>
          <w:t>1.7.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Fluxos de Exceção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_Toc448218507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5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8" w:history="1">
        <w:r w:rsidR="000F5A48" w:rsidRPr="003A2486">
          <w:rPr>
            <w:rStyle w:val="Hyperlink"/>
            <w:noProof/>
            <w:lang w:val="pt-BR"/>
          </w:rPr>
          <w:t>1.8.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Pós-condição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_Toc448218508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5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09" w:history="1">
        <w:r w:rsidR="000F5A48" w:rsidRPr="003A2486">
          <w:rPr>
            <w:rStyle w:val="Hyperlink"/>
            <w:noProof/>
            <w:lang w:val="pt-BR"/>
          </w:rPr>
          <w:t>1.9.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Requisitos Especiais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_Toc448218509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5</w:t>
        </w:r>
        <w:r w:rsidR="000F5A48">
          <w:rPr>
            <w:noProof/>
            <w:webHidden/>
          </w:rPr>
          <w:fldChar w:fldCharType="end"/>
        </w:r>
      </w:hyperlink>
    </w:p>
    <w:p w:rsidR="000F5A48" w:rsidRDefault="008277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10" w:history="1">
        <w:r w:rsidR="000F5A48" w:rsidRPr="003A2486">
          <w:rPr>
            <w:rStyle w:val="Hyperlink"/>
            <w:noProof/>
            <w:lang w:val="pt-BR"/>
          </w:rPr>
          <w:t>1.10.</w:t>
        </w:r>
        <w:r w:rsidR="000F5A4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F5A48" w:rsidRPr="003A2486">
          <w:rPr>
            <w:rStyle w:val="Hyperlink"/>
            <w:noProof/>
            <w:lang w:val="pt-BR"/>
          </w:rPr>
          <w:t>Layout das Páginas de Entrada ou Saída</w:t>
        </w:r>
        <w:r w:rsidR="000F5A48">
          <w:rPr>
            <w:noProof/>
            <w:webHidden/>
          </w:rPr>
          <w:tab/>
        </w:r>
        <w:r w:rsidR="000F5A48">
          <w:rPr>
            <w:noProof/>
            <w:webHidden/>
          </w:rPr>
          <w:fldChar w:fldCharType="begin"/>
        </w:r>
        <w:r w:rsidR="000F5A48">
          <w:rPr>
            <w:noProof/>
            <w:webHidden/>
          </w:rPr>
          <w:instrText xml:space="preserve"> PAGEREF _Toc448218510 \h </w:instrText>
        </w:r>
        <w:r w:rsidR="000F5A48">
          <w:rPr>
            <w:noProof/>
            <w:webHidden/>
          </w:rPr>
        </w:r>
        <w:r w:rsidR="000F5A48">
          <w:rPr>
            <w:noProof/>
            <w:webHidden/>
          </w:rPr>
          <w:fldChar w:fldCharType="separate"/>
        </w:r>
        <w:r w:rsidR="000F5A48">
          <w:rPr>
            <w:noProof/>
            <w:webHidden/>
          </w:rPr>
          <w:t>5</w:t>
        </w:r>
        <w:r w:rsidR="000F5A48"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8277AA">
        <w:lastRenderedPageBreak/>
        <w:fldChar w:fldCharType="begin"/>
      </w:r>
      <w:r w:rsidR="008277AA">
        <w:instrText xml:space="preserve"> TITLE  \* </w:instrText>
      </w:r>
      <w:r w:rsidR="008277AA">
        <w:instrText xml:space="preserve">MERGEFORMAT </w:instrText>
      </w:r>
      <w:r w:rsidR="008277AA">
        <w:fldChar w:fldCharType="separate"/>
      </w:r>
      <w:r w:rsidR="004819BD">
        <w:rPr>
          <w:lang w:val="pt-BR"/>
        </w:rPr>
        <w:t>Especificação de Caso de Uso</w:t>
      </w:r>
      <w:r w:rsidR="008277AA">
        <w:rPr>
          <w:lang w:val="pt-BR"/>
        </w:rPr>
        <w:fldChar w:fldCharType="end"/>
      </w:r>
    </w:p>
    <w:p w:rsidR="00C953F9" w:rsidRPr="000941DB" w:rsidRDefault="00644431" w:rsidP="002F1589">
      <w:pPr>
        <w:pStyle w:val="Ttulo1"/>
        <w:rPr>
          <w:lang w:val="pt-BR"/>
        </w:rPr>
      </w:pPr>
      <w:bookmarkStart w:id="1" w:name="_Toc424518662"/>
      <w:bookmarkStart w:id="2" w:name="_Toc448218500"/>
      <w:bookmarkStart w:id="3" w:name="_Toc420923237"/>
      <w:bookmarkStart w:id="4" w:name="_Toc420923238"/>
      <w:r>
        <w:rPr>
          <w:lang w:val="pt-BR"/>
        </w:rPr>
        <w:t>S</w:t>
      </w:r>
      <w:r w:rsidR="00BF2123">
        <w:rPr>
          <w:lang w:val="pt-BR"/>
        </w:rPr>
        <w:t>CEUC0003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BF2123">
        <w:rPr>
          <w:lang w:val="pt-BR"/>
        </w:rPr>
        <w:t>Consulta</w:t>
      </w:r>
      <w:r>
        <w:rPr>
          <w:lang w:val="pt-BR"/>
        </w:rPr>
        <w:t>r</w:t>
      </w:r>
      <w:r w:rsidR="00BF2123">
        <w:rPr>
          <w:lang w:val="pt-BR"/>
        </w:rPr>
        <w:t xml:space="preserve"> </w:t>
      </w:r>
      <w:r>
        <w:rPr>
          <w:lang w:val="pt-BR"/>
        </w:rPr>
        <w:t>C</w:t>
      </w:r>
      <w:r w:rsidR="00BF2123">
        <w:rPr>
          <w:lang w:val="pt-BR"/>
        </w:rPr>
        <w:t xml:space="preserve">omunicações com os </w:t>
      </w:r>
      <w:r>
        <w:rPr>
          <w:lang w:val="pt-BR"/>
        </w:rPr>
        <w:t>C</w:t>
      </w:r>
      <w:r w:rsidR="00BF2123">
        <w:rPr>
          <w:lang w:val="pt-BR"/>
        </w:rPr>
        <w:t>ontribuintes</w:t>
      </w:r>
      <w:r w:rsidR="00BC1013">
        <w:rPr>
          <w:lang w:val="pt-BR"/>
        </w:rPr>
        <w:t>.</w:t>
      </w:r>
      <w:bookmarkEnd w:id="2"/>
      <w:r w:rsidR="00E62026">
        <w:rPr>
          <w:lang w:val="pt-BR"/>
        </w:rPr>
        <w:t xml:space="preserve"> </w:t>
      </w:r>
      <w:bookmarkEnd w:id="3"/>
      <w:bookmarkEnd w:id="4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18501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</w:t>
      </w:r>
      <w:r w:rsidR="00E67A79">
        <w:rPr>
          <w:lang w:val="pt-BR"/>
        </w:rPr>
        <w:t>e comunicações com os contribuintes</w:t>
      </w:r>
      <w:r w:rsidR="00A51372">
        <w:rPr>
          <w:lang w:val="pt-BR"/>
        </w:rPr>
        <w:t>.</w:t>
      </w:r>
    </w:p>
    <w:p w:rsidR="00B038CA" w:rsidRDefault="00B038CA" w:rsidP="00263A9F">
      <w:pPr>
        <w:jc w:val="both"/>
        <w:rPr>
          <w:lang w:val="pt-BR"/>
        </w:rPr>
      </w:pPr>
      <w:r>
        <w:rPr>
          <w:lang w:val="pt-BR"/>
        </w:rPr>
        <w:t>Neste caso de uso e para consultar todas as comunicações feitas (enviadas) para os contribuintes usando e-mail e SMS.</w:t>
      </w:r>
      <w:r w:rsidR="00A7780B">
        <w:rPr>
          <w:lang w:val="pt-BR"/>
        </w:rPr>
        <w:t xml:space="preserve"> Podem-se usar diferentes filtros.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B194D">
        <w:rPr>
          <w:i/>
          <w:lang w:val="pt-BR"/>
        </w:rPr>
        <w:t>Consulta de comunicações com os contribuintes</w:t>
      </w:r>
      <w:r w:rsidR="002C2D51" w:rsidRPr="0080613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FB6074">
        <w:rPr>
          <w:lang w:val="pt-BR"/>
        </w:rPr>
        <w:t xml:space="preserve"> no menu</w:t>
      </w:r>
      <w:r w:rsidR="00C971D2">
        <w:rPr>
          <w:lang w:val="pt-BR"/>
        </w:rPr>
        <w:t xml:space="preserve"> </w:t>
      </w:r>
      <w:r w:rsidR="00FB6074">
        <w:rPr>
          <w:lang w:val="pt-BR"/>
        </w:rPr>
        <w:t xml:space="preserve">das opções </w:t>
      </w:r>
      <w:r w:rsidR="00C971D2">
        <w:rPr>
          <w:lang w:val="pt-BR"/>
        </w:rPr>
        <w:t>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FB6074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18502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18503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18504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48218505"/>
      <w:bookmarkStart w:id="17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6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6E625A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8E3FB4">
        <w:rPr>
          <w:i/>
          <w:lang w:val="pt-BR"/>
        </w:rPr>
        <w:t xml:space="preserve"> </w:t>
      </w:r>
      <w:r w:rsidR="006E625A">
        <w:rPr>
          <w:i/>
          <w:lang w:val="pt-BR"/>
        </w:rPr>
        <w:t>Consulta de comunicações com os contribuintes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644431">
        <w:rPr>
          <w:lang w:val="pt-BR"/>
        </w:rPr>
        <w:t>SCEUC0003PG</w:t>
      </w:r>
      <w:r w:rsidR="007C4218">
        <w:rPr>
          <w:lang w:val="pt-BR"/>
        </w:rPr>
        <w:t xml:space="preserve">01 - </w:t>
      </w:r>
      <w:r w:rsidR="00073B46">
        <w:rPr>
          <w:noProof/>
          <w:lang w:val="pt-BR" w:eastAsia="pt-BR"/>
        </w:rPr>
        <w:t xml:space="preserve">Listagem das Comunicações com os </w:t>
      </w:r>
      <w:r w:rsidR="00644431">
        <w:rPr>
          <w:noProof/>
          <w:lang w:val="pt-BR" w:eastAsia="pt-BR"/>
        </w:rPr>
        <w:t>C</w:t>
      </w:r>
      <w:r w:rsidR="00073B46">
        <w:rPr>
          <w:noProof/>
          <w:lang w:val="pt-BR" w:eastAsia="pt-BR"/>
        </w:rPr>
        <w:t>ontribuintes</w:t>
      </w:r>
      <w:r w:rsidR="008A2E0E">
        <w:rPr>
          <w:lang w:val="pt-BR"/>
        </w:rPr>
        <w:t>)</w:t>
      </w:r>
      <w:r w:rsidR="00073B46">
        <w:rPr>
          <w:lang w:val="pt-BR"/>
        </w:rPr>
        <w:t>.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 xml:space="preserve">das </w:t>
      </w:r>
      <w:r w:rsidR="004A05A7">
        <w:rPr>
          <w:lang w:val="pt-BR"/>
        </w:rPr>
        <w:t xml:space="preserve">comunicações com os contribuintes </w:t>
      </w:r>
      <w:r w:rsidR="002A705E">
        <w:rPr>
          <w:lang w:val="pt-BR"/>
        </w:rPr>
        <w:t>usando o</w:t>
      </w:r>
      <w:r w:rsidR="004A05A7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4A05A7">
        <w:rPr>
          <w:lang w:val="pt-BR"/>
        </w:rPr>
        <w:t>s:</w:t>
      </w:r>
      <w:r w:rsidR="00ED2D25">
        <w:rPr>
          <w:lang w:val="pt-BR"/>
        </w:rPr>
        <w:t xml:space="preserve"> CPF, Nome de Usuário, </w:t>
      </w:r>
      <w:r w:rsidR="00F102BD">
        <w:rPr>
          <w:lang w:val="pt-BR"/>
        </w:rPr>
        <w:t>Tipos</w:t>
      </w:r>
      <w:r w:rsidR="00ED2D25">
        <w:rPr>
          <w:lang w:val="pt-BR"/>
        </w:rPr>
        <w:t xml:space="preserve"> de Mensagem (E-mail, SMS), Data de Comunicação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36015">
        <w:rPr>
          <w:lang w:val="pt-BR"/>
        </w:rPr>
        <w:t>sistema mostra todas a</w:t>
      </w:r>
      <w:r w:rsidR="0096459F">
        <w:rPr>
          <w:lang w:val="pt-BR"/>
        </w:rPr>
        <w:t xml:space="preserve">s </w:t>
      </w:r>
      <w:r w:rsidR="008641FC">
        <w:rPr>
          <w:lang w:val="pt-BR"/>
        </w:rPr>
        <w:t>comunicações feitas com os contribu</w:t>
      </w:r>
      <w:r w:rsidR="00D203FF">
        <w:rPr>
          <w:lang w:val="pt-BR"/>
        </w:rPr>
        <w:t xml:space="preserve">intes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EC29ED">
        <w:rPr>
          <w:lang w:val="pt-BR"/>
        </w:rPr>
        <w:t xml:space="preserve"> uma</w:t>
      </w:r>
      <w:r w:rsidR="001C7D55">
        <w:rPr>
          <w:lang w:val="pt-BR"/>
        </w:rPr>
        <w:t xml:space="preserve"> lista</w:t>
      </w:r>
      <w:r w:rsidR="00EC29ED">
        <w:rPr>
          <w:lang w:val="pt-BR"/>
        </w:rPr>
        <w:t>gem</w:t>
      </w:r>
      <w:r w:rsidR="001C7D55">
        <w:rPr>
          <w:lang w:val="pt-BR"/>
        </w:rPr>
        <w:t xml:space="preserve">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</w:t>
      </w:r>
      <w:r w:rsidR="00EC29ED">
        <w:rPr>
          <w:lang w:val="pt-BR"/>
        </w:rPr>
        <w:t xml:space="preserve"># de registro, CPF, Nome de Usuário, Tipo de Comunicação, Data Comunicação, </w:t>
      </w:r>
      <w:r w:rsidR="00EF1A20">
        <w:rPr>
          <w:lang w:val="pt-BR"/>
        </w:rPr>
        <w:t xml:space="preserve">O assunto da mensagem no caso de E-mail ou </w:t>
      </w:r>
      <w:r w:rsidR="00EC29ED">
        <w:rPr>
          <w:lang w:val="pt-BR"/>
        </w:rPr>
        <w:t>Conteúdo do Mensagem</w:t>
      </w:r>
      <w:r w:rsidR="00EF1A20">
        <w:rPr>
          <w:lang w:val="pt-BR"/>
        </w:rPr>
        <w:t xml:space="preserve"> para SMS, se tem anexo para os E-mail e se tem erro de transmissão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644431">
        <w:rPr>
          <w:lang w:val="pt-BR"/>
        </w:rPr>
        <w:t>SCEUC0003PG01</w:t>
      </w:r>
      <w:r w:rsidR="00F102BD">
        <w:rPr>
          <w:lang w:val="pt-BR"/>
        </w:rPr>
        <w:t xml:space="preserve"> -</w:t>
      </w:r>
      <w:r w:rsidR="00EF1A20">
        <w:rPr>
          <w:lang w:val="pt-BR"/>
        </w:rPr>
        <w:t xml:space="preserve"> </w:t>
      </w:r>
      <w:r w:rsidR="00EF1A20">
        <w:rPr>
          <w:noProof/>
          <w:lang w:val="pt-BR" w:eastAsia="pt-BR"/>
        </w:rPr>
        <w:t xml:space="preserve">Listagem das Comunicações com os </w:t>
      </w:r>
      <w:r w:rsidR="00644431">
        <w:rPr>
          <w:noProof/>
          <w:lang w:val="pt-BR" w:eastAsia="pt-BR"/>
        </w:rPr>
        <w:t>C</w:t>
      </w:r>
      <w:r w:rsidR="00EF1A20">
        <w:rPr>
          <w:noProof/>
          <w:lang w:val="pt-BR" w:eastAsia="pt-BR"/>
        </w:rPr>
        <w:t>ontribuintes</w:t>
      </w:r>
      <w:r w:rsidR="008A2E0E">
        <w:rPr>
          <w:lang w:val="pt-BR"/>
        </w:rPr>
        <w:t>)</w:t>
      </w:r>
      <w:r w:rsidR="00BE7968">
        <w:rPr>
          <w:lang w:val="pt-BR"/>
        </w:rPr>
        <w:t xml:space="preserve">. </w:t>
      </w:r>
      <w:r w:rsidR="00CE4070">
        <w:rPr>
          <w:lang w:val="pt-BR"/>
        </w:rPr>
        <w:t>Os dados serão mostrados ordenados em forma ascendente por Nome de usuário, tipo de comunicação e data de comunicação</w:t>
      </w:r>
      <w:r w:rsidR="00BE7968">
        <w:rPr>
          <w:lang w:val="pt-BR"/>
        </w:rPr>
        <w:t>.</w:t>
      </w:r>
      <w:r w:rsidR="00995262">
        <w:rPr>
          <w:lang w:val="pt-BR"/>
        </w:rPr>
        <w:t xml:space="preserve"> Como existem 2 tabelas de comunicação</w:t>
      </w:r>
      <w:r w:rsidR="008A3E69">
        <w:rPr>
          <w:lang w:val="pt-BR"/>
        </w:rPr>
        <w:t xml:space="preserve"> (SMS e e-mail)</w:t>
      </w:r>
      <w:r w:rsidR="00995262">
        <w:rPr>
          <w:lang w:val="pt-BR"/>
        </w:rPr>
        <w:t xml:space="preserve"> para essa consulta será criada uma vista de Oracle usando UNION ALL y diferenciando por tipo de mensagem.</w:t>
      </w:r>
      <w:r w:rsidR="008A3E69">
        <w:rPr>
          <w:lang w:val="pt-BR"/>
        </w:rPr>
        <w:t xml:space="preserve"> Com a finalidade de criar só uma consulta para as mensagems.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448218506"/>
      <w:bookmarkStart w:id="20" w:name="_Toc100995325"/>
      <w:bookmarkStart w:id="21" w:name="_Toc114038718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19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448218507"/>
      <w:bookmarkStart w:id="24" w:name="_Toc101248486"/>
      <w:bookmarkStart w:id="25" w:name="_Toc102377891"/>
      <w:bookmarkEnd w:id="17"/>
      <w:bookmarkEnd w:id="20"/>
      <w:bookmarkEnd w:id="21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3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18508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18509"/>
      <w:bookmarkEnd w:id="24"/>
      <w:bookmarkEnd w:id="25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18510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644431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SCEUC0003PG</w:t>
      </w:r>
      <w:r w:rsidR="00CA6AD9">
        <w:rPr>
          <w:noProof/>
          <w:lang w:val="pt-BR" w:eastAsia="pt-BR"/>
        </w:rPr>
        <w:t xml:space="preserve">01 - Listagem das </w:t>
      </w:r>
      <w:r w:rsidR="000A2DCB">
        <w:rPr>
          <w:noProof/>
          <w:lang w:val="pt-BR" w:eastAsia="pt-BR"/>
        </w:rPr>
        <w:t xml:space="preserve">Comunicações com os </w:t>
      </w:r>
      <w:r>
        <w:rPr>
          <w:noProof/>
          <w:lang w:val="pt-BR" w:eastAsia="pt-BR"/>
        </w:rPr>
        <w:t>C</w:t>
      </w:r>
      <w:r w:rsidR="000A2DCB">
        <w:rPr>
          <w:noProof/>
          <w:lang w:val="pt-BR" w:eastAsia="pt-BR"/>
        </w:rPr>
        <w:t>ontribuintes</w:t>
      </w:r>
    </w:p>
    <w:p w:rsidR="00303411" w:rsidRDefault="00436E58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1529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152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644431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8C444F" w:rsidRPr="00644431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3126C8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B67E0A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C444F" w:rsidRPr="008C444F" w:rsidRDefault="00973541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A178F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354564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:rsidR="008C444F" w:rsidRPr="008C444F" w:rsidRDefault="00354564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644431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6C8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616235" w:rsidRDefault="00A56E39" w:rsidP="00B67E0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</w:t>
            </w:r>
            <w:r w:rsidR="00B67E0A" w:rsidRP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850E2" w:rsidRPr="008C444F" w:rsidRDefault="00616235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A178FC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D44724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D44724" w:rsidRPr="00644431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D44724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D44724" w:rsidRPr="00616235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</w:t>
            </w:r>
            <w:r w:rsidRP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Me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nsagem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44724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E-mail, SMS</w:t>
            </w:r>
          </w:p>
        </w:tc>
        <w:tc>
          <w:tcPr>
            <w:tcW w:w="408" w:type="pct"/>
            <w:vAlign w:val="center"/>
          </w:tcPr>
          <w:p w:rsidR="00D44724" w:rsidRPr="008C444F" w:rsidRDefault="00A56E39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44724" w:rsidRDefault="00D44724" w:rsidP="00D4472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A56E39" w:rsidRPr="00644431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6E39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6E39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Comunicação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 para filtrar</w:t>
            </w:r>
          </w:p>
        </w:tc>
        <w:tc>
          <w:tcPr>
            <w:tcW w:w="295" w:type="pct"/>
            <w:vAlign w:val="center"/>
          </w:tcPr>
          <w:p w:rsidR="00A56E39" w:rsidRPr="008C444F" w:rsidRDefault="00A178FC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A56E39" w:rsidRDefault="00A56E39" w:rsidP="00A56E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A56E39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A56E39" w:rsidRPr="00644431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6E39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6E39" w:rsidRPr="0024171D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A56E39" w:rsidRPr="00D94D16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A56E39" w:rsidRPr="00D94D16" w:rsidRDefault="00A56E39" w:rsidP="00A56E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A56E39" w:rsidRPr="00644431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6E39" w:rsidRPr="008C444F" w:rsidRDefault="008C7D4A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A56E39" w:rsidRPr="008C444F" w:rsidRDefault="00A56E39" w:rsidP="00A56E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A56E39" w:rsidRPr="00644431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7AA" w:rsidRDefault="008277AA">
      <w:r>
        <w:separator/>
      </w:r>
    </w:p>
  </w:endnote>
  <w:endnote w:type="continuationSeparator" w:id="0">
    <w:p w:rsidR="008277AA" w:rsidRDefault="0082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8277AA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0407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AD5A74" w:rsidRPr="00AD5A74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7AA" w:rsidRDefault="008277AA">
      <w:r>
        <w:separator/>
      </w:r>
    </w:p>
  </w:footnote>
  <w:footnote w:type="continuationSeparator" w:id="0">
    <w:p w:rsidR="008277AA" w:rsidRDefault="00827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77AA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3B46"/>
    <w:rsid w:val="000854B4"/>
    <w:rsid w:val="000924F3"/>
    <w:rsid w:val="00093298"/>
    <w:rsid w:val="000941DB"/>
    <w:rsid w:val="000A1EF4"/>
    <w:rsid w:val="000A2504"/>
    <w:rsid w:val="000A2CB1"/>
    <w:rsid w:val="000A2DCB"/>
    <w:rsid w:val="000A67B5"/>
    <w:rsid w:val="000A6CC3"/>
    <w:rsid w:val="000B1BB5"/>
    <w:rsid w:val="000C0F45"/>
    <w:rsid w:val="000C68EA"/>
    <w:rsid w:val="000D0060"/>
    <w:rsid w:val="000E333E"/>
    <w:rsid w:val="000F3269"/>
    <w:rsid w:val="000F5A48"/>
    <w:rsid w:val="000F65F0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91072"/>
    <w:rsid w:val="00192725"/>
    <w:rsid w:val="00193A20"/>
    <w:rsid w:val="0019629E"/>
    <w:rsid w:val="001A1BCC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F5"/>
    <w:rsid w:val="00237EDF"/>
    <w:rsid w:val="00241600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5AE4"/>
    <w:rsid w:val="002A705E"/>
    <w:rsid w:val="002A7A66"/>
    <w:rsid w:val="002B0F7A"/>
    <w:rsid w:val="002B45AA"/>
    <w:rsid w:val="002C2D51"/>
    <w:rsid w:val="002D68D6"/>
    <w:rsid w:val="002E7CF3"/>
    <w:rsid w:val="002F1589"/>
    <w:rsid w:val="002F77BD"/>
    <w:rsid w:val="00303411"/>
    <w:rsid w:val="0031219B"/>
    <w:rsid w:val="003126C8"/>
    <w:rsid w:val="003331A9"/>
    <w:rsid w:val="00337B3F"/>
    <w:rsid w:val="00350F92"/>
    <w:rsid w:val="00354564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1914"/>
    <w:rsid w:val="00406A95"/>
    <w:rsid w:val="004079A2"/>
    <w:rsid w:val="00407CB6"/>
    <w:rsid w:val="004106BD"/>
    <w:rsid w:val="0041232C"/>
    <w:rsid w:val="00413B6F"/>
    <w:rsid w:val="00422DCC"/>
    <w:rsid w:val="004271F2"/>
    <w:rsid w:val="00427C0D"/>
    <w:rsid w:val="00430691"/>
    <w:rsid w:val="00435D6A"/>
    <w:rsid w:val="00436E58"/>
    <w:rsid w:val="00441C85"/>
    <w:rsid w:val="004454B9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1BDF"/>
    <w:rsid w:val="00496636"/>
    <w:rsid w:val="004A05A7"/>
    <w:rsid w:val="004B0EC5"/>
    <w:rsid w:val="004B4CB2"/>
    <w:rsid w:val="004B4CDF"/>
    <w:rsid w:val="004C0FE2"/>
    <w:rsid w:val="004C3582"/>
    <w:rsid w:val="004D117B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16235"/>
    <w:rsid w:val="00623B30"/>
    <w:rsid w:val="00624345"/>
    <w:rsid w:val="006256D4"/>
    <w:rsid w:val="00625F14"/>
    <w:rsid w:val="006306AE"/>
    <w:rsid w:val="0063171B"/>
    <w:rsid w:val="00635C43"/>
    <w:rsid w:val="00644431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E625A"/>
    <w:rsid w:val="006F13D0"/>
    <w:rsid w:val="006F2AB9"/>
    <w:rsid w:val="006F7B4E"/>
    <w:rsid w:val="00700CE4"/>
    <w:rsid w:val="00705A32"/>
    <w:rsid w:val="00710AE9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600FA"/>
    <w:rsid w:val="0077393B"/>
    <w:rsid w:val="0077726F"/>
    <w:rsid w:val="00792FF3"/>
    <w:rsid w:val="007A6296"/>
    <w:rsid w:val="007B12BB"/>
    <w:rsid w:val="007C4218"/>
    <w:rsid w:val="007D24FE"/>
    <w:rsid w:val="007D4363"/>
    <w:rsid w:val="007E12B4"/>
    <w:rsid w:val="007E5BAE"/>
    <w:rsid w:val="007E615A"/>
    <w:rsid w:val="007F377E"/>
    <w:rsid w:val="00800176"/>
    <w:rsid w:val="00801C1A"/>
    <w:rsid w:val="0080613C"/>
    <w:rsid w:val="00822CF5"/>
    <w:rsid w:val="00827573"/>
    <w:rsid w:val="00827645"/>
    <w:rsid w:val="008277AA"/>
    <w:rsid w:val="008458AF"/>
    <w:rsid w:val="00852194"/>
    <w:rsid w:val="00857A9A"/>
    <w:rsid w:val="00860249"/>
    <w:rsid w:val="008629E2"/>
    <w:rsid w:val="008641FC"/>
    <w:rsid w:val="00883974"/>
    <w:rsid w:val="00884BDB"/>
    <w:rsid w:val="008850E2"/>
    <w:rsid w:val="00885A3B"/>
    <w:rsid w:val="008A03F1"/>
    <w:rsid w:val="008A0A71"/>
    <w:rsid w:val="008A2E0E"/>
    <w:rsid w:val="008A3E69"/>
    <w:rsid w:val="008B5DCF"/>
    <w:rsid w:val="008C0453"/>
    <w:rsid w:val="008C04F1"/>
    <w:rsid w:val="008C1BE5"/>
    <w:rsid w:val="008C444F"/>
    <w:rsid w:val="008C5D42"/>
    <w:rsid w:val="008C7D4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2D54"/>
    <w:rsid w:val="00923E36"/>
    <w:rsid w:val="00927B13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57EED"/>
    <w:rsid w:val="0096459F"/>
    <w:rsid w:val="009712A8"/>
    <w:rsid w:val="00973541"/>
    <w:rsid w:val="00973785"/>
    <w:rsid w:val="0097646D"/>
    <w:rsid w:val="00981692"/>
    <w:rsid w:val="00982A1C"/>
    <w:rsid w:val="00995262"/>
    <w:rsid w:val="009B493F"/>
    <w:rsid w:val="009B5062"/>
    <w:rsid w:val="009C6EF1"/>
    <w:rsid w:val="009D118F"/>
    <w:rsid w:val="009D43CD"/>
    <w:rsid w:val="009D7B09"/>
    <w:rsid w:val="009E0DCD"/>
    <w:rsid w:val="009E1F32"/>
    <w:rsid w:val="009E2D7A"/>
    <w:rsid w:val="009F6672"/>
    <w:rsid w:val="00A02FFA"/>
    <w:rsid w:val="00A042B0"/>
    <w:rsid w:val="00A10A7B"/>
    <w:rsid w:val="00A113B7"/>
    <w:rsid w:val="00A15C71"/>
    <w:rsid w:val="00A178FC"/>
    <w:rsid w:val="00A17FD0"/>
    <w:rsid w:val="00A23E0E"/>
    <w:rsid w:val="00A31640"/>
    <w:rsid w:val="00A44359"/>
    <w:rsid w:val="00A45915"/>
    <w:rsid w:val="00A51372"/>
    <w:rsid w:val="00A517AB"/>
    <w:rsid w:val="00A52A7A"/>
    <w:rsid w:val="00A56E39"/>
    <w:rsid w:val="00A7780B"/>
    <w:rsid w:val="00A91364"/>
    <w:rsid w:val="00A913F8"/>
    <w:rsid w:val="00A93D23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5A74"/>
    <w:rsid w:val="00AD7479"/>
    <w:rsid w:val="00AE050A"/>
    <w:rsid w:val="00AE31A0"/>
    <w:rsid w:val="00AE6CE0"/>
    <w:rsid w:val="00AF191E"/>
    <w:rsid w:val="00AF3C08"/>
    <w:rsid w:val="00AF7A57"/>
    <w:rsid w:val="00B01216"/>
    <w:rsid w:val="00B038CA"/>
    <w:rsid w:val="00B10619"/>
    <w:rsid w:val="00B273B2"/>
    <w:rsid w:val="00B36312"/>
    <w:rsid w:val="00B4096E"/>
    <w:rsid w:val="00B61B07"/>
    <w:rsid w:val="00B62CF5"/>
    <w:rsid w:val="00B67E0A"/>
    <w:rsid w:val="00B73EA0"/>
    <w:rsid w:val="00B753C7"/>
    <w:rsid w:val="00B821FF"/>
    <w:rsid w:val="00B826CC"/>
    <w:rsid w:val="00B8331A"/>
    <w:rsid w:val="00B90678"/>
    <w:rsid w:val="00B91F6B"/>
    <w:rsid w:val="00BA3F75"/>
    <w:rsid w:val="00BA515B"/>
    <w:rsid w:val="00BB4B16"/>
    <w:rsid w:val="00BB5E3C"/>
    <w:rsid w:val="00BB6C30"/>
    <w:rsid w:val="00BC1013"/>
    <w:rsid w:val="00BC40BF"/>
    <w:rsid w:val="00BC6889"/>
    <w:rsid w:val="00BD4BA6"/>
    <w:rsid w:val="00BE1A74"/>
    <w:rsid w:val="00BE7968"/>
    <w:rsid w:val="00BF1F5B"/>
    <w:rsid w:val="00BF2123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6AD9"/>
    <w:rsid w:val="00CB0CE3"/>
    <w:rsid w:val="00CB194D"/>
    <w:rsid w:val="00CB5045"/>
    <w:rsid w:val="00CB66AC"/>
    <w:rsid w:val="00CD4D50"/>
    <w:rsid w:val="00CE2684"/>
    <w:rsid w:val="00CE4070"/>
    <w:rsid w:val="00CE6794"/>
    <w:rsid w:val="00CF2492"/>
    <w:rsid w:val="00CF35B2"/>
    <w:rsid w:val="00CF3B44"/>
    <w:rsid w:val="00CF3BD1"/>
    <w:rsid w:val="00CF60E9"/>
    <w:rsid w:val="00D01EE0"/>
    <w:rsid w:val="00D104AB"/>
    <w:rsid w:val="00D1406E"/>
    <w:rsid w:val="00D203FF"/>
    <w:rsid w:val="00D20C6F"/>
    <w:rsid w:val="00D21244"/>
    <w:rsid w:val="00D21518"/>
    <w:rsid w:val="00D30475"/>
    <w:rsid w:val="00D31D0F"/>
    <w:rsid w:val="00D365D4"/>
    <w:rsid w:val="00D40618"/>
    <w:rsid w:val="00D440FB"/>
    <w:rsid w:val="00D44724"/>
    <w:rsid w:val="00D44D3F"/>
    <w:rsid w:val="00D53399"/>
    <w:rsid w:val="00D62056"/>
    <w:rsid w:val="00D72554"/>
    <w:rsid w:val="00D7331D"/>
    <w:rsid w:val="00D774BA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73AA"/>
    <w:rsid w:val="00E003B1"/>
    <w:rsid w:val="00E0269B"/>
    <w:rsid w:val="00E135A4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A79"/>
    <w:rsid w:val="00E67E92"/>
    <w:rsid w:val="00E743E4"/>
    <w:rsid w:val="00E7726E"/>
    <w:rsid w:val="00E96817"/>
    <w:rsid w:val="00EA0C88"/>
    <w:rsid w:val="00EA4132"/>
    <w:rsid w:val="00EB43E7"/>
    <w:rsid w:val="00EB4603"/>
    <w:rsid w:val="00EB4C03"/>
    <w:rsid w:val="00EB6CA8"/>
    <w:rsid w:val="00EC29ED"/>
    <w:rsid w:val="00EC55D4"/>
    <w:rsid w:val="00EC7AB4"/>
    <w:rsid w:val="00ED226F"/>
    <w:rsid w:val="00ED2468"/>
    <w:rsid w:val="00ED2D25"/>
    <w:rsid w:val="00ED4424"/>
    <w:rsid w:val="00EF1A20"/>
    <w:rsid w:val="00EF447E"/>
    <w:rsid w:val="00F01650"/>
    <w:rsid w:val="00F04263"/>
    <w:rsid w:val="00F06A34"/>
    <w:rsid w:val="00F102BD"/>
    <w:rsid w:val="00F125C7"/>
    <w:rsid w:val="00F12804"/>
    <w:rsid w:val="00F17A77"/>
    <w:rsid w:val="00F20701"/>
    <w:rsid w:val="00F2422C"/>
    <w:rsid w:val="00F33A33"/>
    <w:rsid w:val="00F34695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B6074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F14440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973B0-2B49-4A06-8CAD-C4A4003D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5595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202</cp:revision>
  <cp:lastPrinted>2001-03-15T17:26:00Z</cp:lastPrinted>
  <dcterms:created xsi:type="dcterms:W3CDTF">2015-11-09T19:39:00Z</dcterms:created>
  <dcterms:modified xsi:type="dcterms:W3CDTF">2016-04-12T13:00:00Z</dcterms:modified>
</cp:coreProperties>
</file>