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B5573E" w14:textId="68415F2C" w:rsidR="007D0E58" w:rsidRDefault="007D0E58" w:rsidP="007D0E58">
      <w:pPr>
        <w:spacing w:after="360"/>
      </w:pPr>
      <w:r w:rsidRPr="007D0E58">
        <w:t>KEY FINDING: At the measured level of colibactin exposure in real TCGA colorectal tumours (alpha = 8.41%),. coli from colibactin-producing bacteria accounts for 8.41% of all somatic mutations</w:t>
      </w:r>
      <w:r w:rsidR="008507EC">
        <w:t xml:space="preserve"> and </w:t>
      </w:r>
      <w:proofErr w:type="gramStart"/>
      <w:r w:rsidR="008507EC">
        <w:t>this best matches</w:t>
      </w:r>
      <w:proofErr w:type="gramEnd"/>
      <w:r w:rsidR="008507EC">
        <w:t xml:space="preserve"> </w:t>
      </w:r>
      <w:proofErr w:type="spellStart"/>
      <w:r w:rsidR="008507EC">
        <w:t>LogNormal</w:t>
      </w:r>
      <w:proofErr w:type="spellEnd"/>
      <w:r w:rsidR="008507EC">
        <w:t xml:space="preserve"> at 10%</w:t>
      </w:r>
    </w:p>
    <w:tbl>
      <w:tblPr>
        <w:tblStyle w:val="TableGrid"/>
        <w:tblpPr w:leftFromText="180" w:rightFromText="180" w:vertAnchor="text" w:horzAnchor="margin" w:tblpY="638"/>
        <w:tblW w:w="9360" w:type="dxa"/>
        <w:tblLook w:val="04A0" w:firstRow="1" w:lastRow="0" w:firstColumn="1" w:lastColumn="0" w:noHBand="0" w:noVBand="1"/>
      </w:tblPr>
      <w:tblGrid>
        <w:gridCol w:w="5552"/>
        <w:gridCol w:w="3808"/>
      </w:tblGrid>
      <w:tr w:rsidR="007D0E58" w14:paraId="22EC4BF6" w14:textId="77777777" w:rsidTr="007D0E58">
        <w:tc>
          <w:tcPr>
            <w:tcW w:w="5552" w:type="dxa"/>
          </w:tcPr>
          <w:p w14:paraId="4901AFB9" w14:textId="77777777" w:rsidR="007D0E58" w:rsidRPr="007D0E58" w:rsidRDefault="007D0E58" w:rsidP="007D0E58">
            <w:pPr>
              <w:spacing w:after="360"/>
            </w:pPr>
            <w:r w:rsidRPr="007D0E58">
              <w:rPr>
                <w:b/>
                <w:bCs/>
                <w:sz w:val="21"/>
                <w:szCs w:val="21"/>
              </w:rPr>
              <w:t>File</w:t>
            </w:r>
          </w:p>
        </w:tc>
        <w:tc>
          <w:tcPr>
            <w:tcW w:w="3808" w:type="dxa"/>
          </w:tcPr>
          <w:p w14:paraId="60BF38A0" w14:textId="77777777" w:rsidR="007D0E58" w:rsidRPr="007D0E58" w:rsidRDefault="007D0E58" w:rsidP="007D0E58">
            <w:pPr>
              <w:spacing w:after="360"/>
            </w:pPr>
            <w:r w:rsidRPr="007D0E58">
              <w:rPr>
                <w:sz w:val="21"/>
                <w:szCs w:val="21"/>
              </w:rPr>
              <w:t>Contents and role</w:t>
            </w:r>
          </w:p>
        </w:tc>
      </w:tr>
      <w:tr w:rsidR="007D0E58" w14:paraId="5801D601" w14:textId="77777777" w:rsidTr="007D0E58">
        <w:tc>
          <w:tcPr>
            <w:tcW w:w="5552" w:type="dxa"/>
          </w:tcPr>
          <w:p w14:paraId="5E2ADD2E" w14:textId="77777777" w:rsidR="007D0E58" w:rsidRDefault="007D0E58" w:rsidP="007D0E58">
            <w:pPr>
              <w:spacing w:after="360"/>
            </w:pPr>
            <w:r>
              <w:rPr>
                <w:b/>
                <w:bCs/>
                <w:color w:val="1F1F1F"/>
                <w:sz w:val="21"/>
                <w:szCs w:val="21"/>
              </w:rPr>
              <w:t>Context_SBS_2.txt</w:t>
            </w:r>
          </w:p>
        </w:tc>
        <w:tc>
          <w:tcPr>
            <w:tcW w:w="3808" w:type="dxa"/>
          </w:tcPr>
          <w:p w14:paraId="2D740C1F" w14:textId="77777777" w:rsidR="007D0E58" w:rsidRDefault="007D0E58" w:rsidP="007D0E58">
            <w:pPr>
              <w:spacing w:after="360"/>
            </w:pPr>
            <w:r>
              <w:rPr>
                <w:color w:val="1F1F1F"/>
                <w:sz w:val="21"/>
                <w:szCs w:val="21"/>
              </w:rPr>
              <w:t>96-channel COSMIC SBS probability matrix (GRCh38). Columns: SBS88, SBS1, SBS5, SBS18. Used in Part 1 sensitivity simulations.</w:t>
            </w:r>
          </w:p>
        </w:tc>
      </w:tr>
      <w:tr w:rsidR="007D0E58" w14:paraId="6F8B8551" w14:textId="77777777" w:rsidTr="007D0E58">
        <w:tc>
          <w:tcPr>
            <w:tcW w:w="5552" w:type="dxa"/>
          </w:tcPr>
          <w:p w14:paraId="597BCEE9" w14:textId="77777777" w:rsidR="007D0E58" w:rsidRDefault="007D0E58" w:rsidP="007D0E58">
            <w:pPr>
              <w:spacing w:after="360"/>
            </w:pPr>
            <w:r>
              <w:rPr>
                <w:b/>
                <w:bCs/>
                <w:color w:val="1F1F1F"/>
                <w:sz w:val="21"/>
                <w:szCs w:val="21"/>
              </w:rPr>
              <w:t>signatures_GRCh37_SBS88_SBS1_SBS5_SBS18.csv</w:t>
            </w:r>
          </w:p>
        </w:tc>
        <w:tc>
          <w:tcPr>
            <w:tcW w:w="3808" w:type="dxa"/>
          </w:tcPr>
          <w:p w14:paraId="7DBDA5B8" w14:textId="77777777" w:rsidR="007D0E58" w:rsidRDefault="007D0E58" w:rsidP="007D0E58">
            <w:pPr>
              <w:spacing w:after="360"/>
            </w:pPr>
            <w:r>
              <w:rPr>
                <w:color w:val="1F1F1F"/>
                <w:sz w:val="21"/>
                <w:szCs w:val="21"/>
              </w:rPr>
              <w:t>Same four signatures aligned to GRCh37. Used in Parts 2-5 for all loss optimisation, classification, ABC and APC curve analyses.</w:t>
            </w:r>
          </w:p>
        </w:tc>
      </w:tr>
      <w:tr w:rsidR="007D0E58" w14:paraId="21086328" w14:textId="77777777" w:rsidTr="007D0E58">
        <w:tc>
          <w:tcPr>
            <w:tcW w:w="5552" w:type="dxa"/>
          </w:tcPr>
          <w:p w14:paraId="56866FD5" w14:textId="77777777" w:rsidR="007D0E58" w:rsidRDefault="007D0E58" w:rsidP="007D0E58">
            <w:pPr>
              <w:spacing w:after="360"/>
            </w:pPr>
            <w:r>
              <w:rPr>
                <w:b/>
                <w:bCs/>
                <w:color w:val="1F1F1F"/>
                <w:sz w:val="21"/>
                <w:szCs w:val="21"/>
              </w:rPr>
              <w:t>tcga_data.csv</w:t>
            </w:r>
          </w:p>
        </w:tc>
        <w:tc>
          <w:tcPr>
            <w:tcW w:w="3808" w:type="dxa"/>
          </w:tcPr>
          <w:p w14:paraId="7E7D1E82" w14:textId="77777777" w:rsidR="007D0E58" w:rsidRDefault="007D0E58" w:rsidP="007D0E58">
            <w:pPr>
              <w:spacing w:after="360"/>
            </w:pPr>
            <w:r>
              <w:rPr>
                <w:color w:val="1F1F1F"/>
                <w:sz w:val="21"/>
                <w:szCs w:val="21"/>
              </w:rPr>
              <w:t>TCGA colorectal cancer clinical data. Provides per-sample total mutation counts. MSS samples with &gt;50 mutations: median N = 108. This N parameterises all simulation trials.</w:t>
            </w:r>
          </w:p>
        </w:tc>
      </w:tr>
      <w:tr w:rsidR="007D0E58" w14:paraId="25871B32" w14:textId="77777777" w:rsidTr="007D0E58">
        <w:tc>
          <w:tcPr>
            <w:tcW w:w="5552" w:type="dxa"/>
          </w:tcPr>
          <w:p w14:paraId="59D0A7CF" w14:textId="77777777" w:rsidR="007D0E58" w:rsidRDefault="007D0E58" w:rsidP="007D0E58">
            <w:pPr>
              <w:spacing w:after="360"/>
            </w:pPr>
            <w:r>
              <w:rPr>
                <w:b/>
                <w:bCs/>
                <w:color w:val="1F1F1F"/>
                <w:sz w:val="21"/>
                <w:szCs w:val="21"/>
              </w:rPr>
              <w:t>tcga_data2.csv</w:t>
            </w:r>
          </w:p>
        </w:tc>
        <w:tc>
          <w:tcPr>
            <w:tcW w:w="3808" w:type="dxa"/>
          </w:tcPr>
          <w:p w14:paraId="34C28578" w14:textId="77777777" w:rsidR="007D0E58" w:rsidRDefault="007D0E58" w:rsidP="007D0E58">
            <w:pPr>
              <w:spacing w:after="360"/>
            </w:pPr>
            <w:r>
              <w:rPr>
                <w:color w:val="1F1F1F"/>
                <w:sz w:val="21"/>
                <w:szCs w:val="21"/>
              </w:rPr>
              <w:t>MSI status per sample. Used to filter the MAF to MSS samples only, excluding hypermutated MSI tumours whose high mutation burden would mask the SBS88 signal.</w:t>
            </w:r>
          </w:p>
        </w:tc>
      </w:tr>
      <w:tr w:rsidR="007D0E58" w14:paraId="1A9DB55B" w14:textId="77777777" w:rsidTr="007D0E58">
        <w:tc>
          <w:tcPr>
            <w:tcW w:w="5552" w:type="dxa"/>
          </w:tcPr>
          <w:p w14:paraId="4B2B1565" w14:textId="77777777" w:rsidR="007D0E58" w:rsidRDefault="007D0E58" w:rsidP="007D0E58">
            <w:pPr>
              <w:spacing w:after="360"/>
            </w:pPr>
            <w:r>
              <w:rPr>
                <w:b/>
                <w:bCs/>
                <w:color w:val="1F1F1F"/>
                <w:sz w:val="21"/>
                <w:szCs w:val="21"/>
              </w:rPr>
              <w:t>mc3.v0.2.8.PUBLIC.maf</w:t>
            </w:r>
          </w:p>
        </w:tc>
        <w:tc>
          <w:tcPr>
            <w:tcW w:w="3808" w:type="dxa"/>
          </w:tcPr>
          <w:p w14:paraId="4EE0A16D" w14:textId="77777777" w:rsidR="007D0E58" w:rsidRDefault="007D0E58" w:rsidP="007D0E58">
            <w:pPr>
              <w:spacing w:after="360"/>
            </w:pPr>
            <w:r>
              <w:rPr>
                <w:color w:val="1F1F1F"/>
                <w:sz w:val="21"/>
                <w:szCs w:val="21"/>
              </w:rPr>
              <w:t>TCGA MC3 pan-cancer open-access MAF file. Loaded in chunks, filtered to COAD and READ, further filtered to MSS samples. 45,393 SNVs across 102 MSS CRC samples. Processed by SigProfilerMatrixGenerator to build 96-channel spectra.</w:t>
            </w:r>
          </w:p>
        </w:tc>
      </w:tr>
    </w:tbl>
    <w:p w14:paraId="1AB82620" w14:textId="79E0BC83" w:rsidR="00357EC5" w:rsidRPr="007D0E58" w:rsidRDefault="00000000" w:rsidP="007D0E58">
      <w:pPr>
        <w:spacing w:after="360"/>
      </w:pPr>
      <w:r w:rsidRPr="007D0E58">
        <w:rPr>
          <w:b/>
          <w:bCs/>
          <w:sz w:val="26"/>
          <w:szCs w:val="26"/>
        </w:rPr>
        <w:t>Data Sources</w:t>
      </w:r>
    </w:p>
    <w:p w14:paraId="78E195D8" w14:textId="77777777" w:rsidR="00357EC5" w:rsidRDefault="00357EC5">
      <w:pPr>
        <w:spacing w:after="160"/>
      </w:pPr>
    </w:p>
    <w:p w14:paraId="73999730" w14:textId="77777777" w:rsidR="007D0E58" w:rsidRDefault="00000000">
      <w:pPr>
        <w:pStyle w:val="Heading2"/>
      </w:pPr>
      <w:r>
        <w:t xml:space="preserve">1.2  </w:t>
      </w:r>
    </w:p>
    <w:p w14:paraId="3E6FA862" w14:textId="77777777" w:rsidR="007D0E58" w:rsidRDefault="007D0E58">
      <w:pPr>
        <w:pStyle w:val="Heading2"/>
      </w:pPr>
    </w:p>
    <w:p w14:paraId="54EB6775" w14:textId="77777777" w:rsidR="007D0E58" w:rsidRDefault="007D0E58">
      <w:pPr>
        <w:pStyle w:val="Heading2"/>
      </w:pPr>
    </w:p>
    <w:p w14:paraId="4AA80275" w14:textId="77777777" w:rsidR="007D0E58" w:rsidRDefault="007D0E58">
      <w:pPr>
        <w:pStyle w:val="Heading2"/>
      </w:pPr>
    </w:p>
    <w:p w14:paraId="1C80943D" w14:textId="77777777" w:rsidR="007D0E58" w:rsidRDefault="007D0E58">
      <w:pPr>
        <w:pStyle w:val="Heading2"/>
      </w:pPr>
    </w:p>
    <w:p w14:paraId="6CE58EFA" w14:textId="77777777" w:rsidR="007D0E58" w:rsidRDefault="007D0E58">
      <w:pPr>
        <w:pStyle w:val="Heading2"/>
      </w:pPr>
    </w:p>
    <w:p w14:paraId="622E7E3E" w14:textId="77777777" w:rsidR="007D0E58" w:rsidRDefault="007D0E58">
      <w:pPr>
        <w:pStyle w:val="Heading2"/>
      </w:pPr>
    </w:p>
    <w:p w14:paraId="2B01358C" w14:textId="77777777" w:rsidR="007D0E58" w:rsidRDefault="007D0E58">
      <w:pPr>
        <w:pStyle w:val="Heading2"/>
      </w:pPr>
    </w:p>
    <w:p w14:paraId="013E80CD" w14:textId="68701014" w:rsidR="00357EC5" w:rsidRDefault="00357EC5">
      <w:pPr>
        <w:pStyle w:val="Heading2"/>
      </w:pPr>
    </w:p>
    <w:p w14:paraId="109EE162" w14:textId="77777777" w:rsidR="00357EC5" w:rsidRDefault="00357EC5">
      <w:pPr>
        <w:spacing w:after="160"/>
      </w:pPr>
    </w:p>
    <w:p w14:paraId="3A392CBE" w14:textId="77777777" w:rsidR="00357EC5" w:rsidRDefault="00000000">
      <w:r>
        <w:br w:type="page"/>
      </w:r>
    </w:p>
    <w:p w14:paraId="3E763B15" w14:textId="6E6A6D79" w:rsidR="00357EC5" w:rsidRPr="007D0E58" w:rsidRDefault="00000000">
      <w:pPr>
        <w:pStyle w:val="Heading1"/>
        <w:rPr>
          <w:color w:val="auto"/>
        </w:rPr>
      </w:pPr>
      <w:r w:rsidRPr="007D0E58">
        <w:rPr>
          <w:color w:val="auto"/>
        </w:rPr>
        <w:lastRenderedPageBreak/>
        <w:t>Sensitivity Simulations</w:t>
      </w:r>
    </w:p>
    <w:p w14:paraId="28376E43" w14:textId="03F69D7E" w:rsidR="00357EC5" w:rsidRPr="007D0E58" w:rsidRDefault="00000000">
      <w:pPr>
        <w:spacing w:after="140"/>
      </w:pPr>
      <w:r w:rsidRPr="007D0E58">
        <w:t>At what colibactin injection level (alpha) can we reliably detect the SBS88 signature, and how does the answer depend on which probability distribution we use to model population-level heterogeneity in exposure?</w:t>
      </w:r>
    </w:p>
    <w:p w14:paraId="64E782B5" w14:textId="270498DB" w:rsidR="00357EC5" w:rsidRPr="007D0E58" w:rsidRDefault="00000000">
      <w:pPr>
        <w:pStyle w:val="Heading2"/>
        <w:rPr>
          <w:color w:val="auto"/>
        </w:rPr>
      </w:pPr>
      <w:r w:rsidRPr="007D0E58">
        <w:rPr>
          <w:color w:val="auto"/>
        </w:rPr>
        <w:t>Method</w:t>
      </w:r>
    </w:p>
    <w:p w14:paraId="208E4461" w14:textId="77777777" w:rsidR="00357EC5" w:rsidRDefault="00000000">
      <w:pPr>
        <w:spacing w:after="140"/>
      </w:pPr>
      <w:r>
        <w:t>Five injection levels were tested: 1%, 5%, 10%, 15% and 20%. At each level, 200 simulation trials were run. In each trial, alpha was drawn from one of three distributions and N mutations were drawn from the resulting mixture spectrum P_infected(alpha), where N was sampled from the real TCGA mutation count distribution (median N = 108).</w:t>
      </w:r>
    </w:p>
    <w:p w14:paraId="0CE202ED" w14:textId="77777777" w:rsidR="00357EC5" w:rsidRDefault="00357EC5">
      <w:pPr>
        <w:spacing w:after="80"/>
      </w:pPr>
    </w:p>
    <w:tbl>
      <w:tblPr>
        <w:tblStyle w:val="TableGrid"/>
        <w:tblW w:w="9360" w:type="dxa"/>
        <w:tblLook w:val="04A0" w:firstRow="1" w:lastRow="0" w:firstColumn="1" w:lastColumn="0" w:noHBand="0" w:noVBand="1"/>
      </w:tblPr>
      <w:tblGrid>
        <w:gridCol w:w="2690"/>
        <w:gridCol w:w="6670"/>
      </w:tblGrid>
      <w:tr w:rsidR="00357EC5" w14:paraId="36EB0873" w14:textId="77777777" w:rsidTr="007D0E58">
        <w:tc>
          <w:tcPr>
            <w:tcW w:w="2600" w:type="dxa"/>
          </w:tcPr>
          <w:p w14:paraId="5596EEBA" w14:textId="77777777" w:rsidR="00357EC5" w:rsidRPr="007D0E58" w:rsidRDefault="00000000">
            <w:r w:rsidRPr="007D0E58">
              <w:rPr>
                <w:b/>
                <w:bCs/>
                <w:sz w:val="21"/>
                <w:szCs w:val="21"/>
              </w:rPr>
              <w:t>Distribution</w:t>
            </w:r>
          </w:p>
        </w:tc>
        <w:tc>
          <w:tcPr>
            <w:tcW w:w="6760" w:type="dxa"/>
          </w:tcPr>
          <w:p w14:paraId="1A512AFE" w14:textId="77777777" w:rsidR="00357EC5" w:rsidRPr="007D0E58" w:rsidRDefault="00000000">
            <w:r w:rsidRPr="007D0E58">
              <w:rPr>
                <w:sz w:val="21"/>
                <w:szCs w:val="21"/>
              </w:rPr>
              <w:t>Parameterisation</w:t>
            </w:r>
          </w:p>
        </w:tc>
      </w:tr>
      <w:tr w:rsidR="00357EC5" w14:paraId="393D9FBA" w14:textId="77777777" w:rsidTr="007D0E58">
        <w:tc>
          <w:tcPr>
            <w:tcW w:w="2600" w:type="dxa"/>
          </w:tcPr>
          <w:p w14:paraId="71AFE3C3" w14:textId="77777777" w:rsidR="00357EC5" w:rsidRDefault="00000000">
            <w:r>
              <w:rPr>
                <w:b/>
                <w:bCs/>
                <w:color w:val="1F1F1F"/>
                <w:sz w:val="21"/>
                <w:szCs w:val="21"/>
              </w:rPr>
              <w:t>Gaussian  N(mean_a, 0.1*mean_a)</w:t>
            </w:r>
          </w:p>
        </w:tc>
        <w:tc>
          <w:tcPr>
            <w:tcW w:w="6760" w:type="dxa"/>
          </w:tcPr>
          <w:p w14:paraId="03C1B4B1" w14:textId="77777777" w:rsidR="00357EC5" w:rsidRDefault="00000000">
            <w:r>
              <w:rPr>
                <w:color w:val="1F1F1F"/>
                <w:sz w:val="21"/>
                <w:szCs w:val="21"/>
              </w:rPr>
              <w:t>Symmetric. Standard deviation fixed at 10% of the mean, matching Senkin et al. methodology. Values outside [0,1] clipped. Widest variance at low injection levels.</w:t>
            </w:r>
          </w:p>
        </w:tc>
      </w:tr>
      <w:tr w:rsidR="00357EC5" w14:paraId="4C69EDC2" w14:textId="77777777" w:rsidTr="007D0E58">
        <w:tc>
          <w:tcPr>
            <w:tcW w:w="2600" w:type="dxa"/>
          </w:tcPr>
          <w:p w14:paraId="0C25699B" w14:textId="77777777" w:rsidR="00357EC5" w:rsidRDefault="00000000">
            <w:r>
              <w:rPr>
                <w:b/>
                <w:bCs/>
                <w:color w:val="1F1F1F"/>
                <w:sz w:val="21"/>
                <w:szCs w:val="21"/>
              </w:rPr>
              <w:t>Beta  Beta(alpha_s, beta_s)</w:t>
            </w:r>
          </w:p>
        </w:tc>
        <w:tc>
          <w:tcPr>
            <w:tcW w:w="6760" w:type="dxa"/>
          </w:tcPr>
          <w:p w14:paraId="12511A48" w14:textId="77777777" w:rsidR="00357EC5" w:rsidRDefault="00000000">
            <w:r>
              <w:rPr>
                <w:color w:val="1F1F1F"/>
                <w:sz w:val="21"/>
                <w:szCs w:val="21"/>
              </w:rPr>
              <w:t>Naturally bounded [0,1], no clipping needed. Parameterised by method of moments to match the same mean and variance as the Gaussian.</w:t>
            </w:r>
          </w:p>
        </w:tc>
      </w:tr>
      <w:tr w:rsidR="00357EC5" w14:paraId="5F87A4B2" w14:textId="77777777" w:rsidTr="007D0E58">
        <w:tc>
          <w:tcPr>
            <w:tcW w:w="2600" w:type="dxa"/>
          </w:tcPr>
          <w:p w14:paraId="16D30EC2" w14:textId="77777777" w:rsidR="00357EC5" w:rsidRDefault="00000000">
            <w:r>
              <w:rPr>
                <w:b/>
                <w:bCs/>
                <w:color w:val="1F1F1F"/>
                <w:sz w:val="21"/>
                <w:szCs w:val="21"/>
              </w:rPr>
              <w:t>LogNormal  LogNormal(log(mean_a), sigma=0.3)</w:t>
            </w:r>
          </w:p>
        </w:tc>
        <w:tc>
          <w:tcPr>
            <w:tcW w:w="6760" w:type="dxa"/>
          </w:tcPr>
          <w:p w14:paraId="39E9F5CE" w14:textId="77777777" w:rsidR="00357EC5" w:rsidRDefault="00000000">
            <w:r>
              <w:rPr>
                <w:color w:val="1F1F1F"/>
                <w:sz w:val="21"/>
                <w:szCs w:val="21"/>
              </w:rPr>
              <w:t>Right-skewed. Median equals mean_a but a long right tail models a subset of patients with high sustained exposure. Most biologically realistic.</w:t>
            </w:r>
          </w:p>
        </w:tc>
      </w:tr>
    </w:tbl>
    <w:p w14:paraId="71C617BA" w14:textId="77777777" w:rsidR="00357EC5" w:rsidRDefault="00357EC5">
      <w:pPr>
        <w:spacing w:after="80"/>
      </w:pPr>
    </w:p>
    <w:p w14:paraId="57893D52" w14:textId="77777777" w:rsidR="00357EC5" w:rsidRDefault="00000000">
      <w:pPr>
        <w:spacing w:after="140"/>
      </w:pPr>
      <w:r>
        <w:t>Detection was measured using cosine similarity between each simulated spectrum and the true SBS88 profile. Higher cosine similarity indicates the spectrum more closely resembles pure SBS88. Reference thresholds of 0.70 and 0.90 are marked.</w:t>
      </w:r>
    </w:p>
    <w:p w14:paraId="47024B47" w14:textId="77777777" w:rsidR="00357EC5" w:rsidRDefault="00357EC5">
      <w:pPr>
        <w:spacing w:after="160"/>
      </w:pPr>
    </w:p>
    <w:p w14:paraId="3E0ED07D" w14:textId="27E7D07A" w:rsidR="00357EC5" w:rsidRPr="007D0E58" w:rsidRDefault="00000000">
      <w:pPr>
        <w:pStyle w:val="Heading2"/>
        <w:rPr>
          <w:color w:val="auto"/>
        </w:rPr>
      </w:pPr>
      <w:r w:rsidRPr="007D0E58">
        <w:rPr>
          <w:color w:val="auto"/>
        </w:rPr>
        <w:t>Results</w:t>
      </w:r>
    </w:p>
    <w:p w14:paraId="59612240" w14:textId="77777777" w:rsidR="00357EC5" w:rsidRDefault="00000000">
      <w:pPr>
        <w:spacing w:after="80"/>
        <w:jc w:val="center"/>
      </w:pPr>
      <w:r>
        <w:rPr>
          <w:noProof/>
        </w:rPr>
        <w:drawing>
          <wp:inline distT="0" distB="0" distL="0" distR="0" wp14:anchorId="69EEA0B8" wp14:editId="0298AEDB">
            <wp:extent cx="59436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3200400"/>
                    </a:xfrm>
                    <a:prstGeom prst="rect">
                      <a:avLst/>
                    </a:prstGeom>
                  </pic:spPr>
                </pic:pic>
              </a:graphicData>
            </a:graphic>
          </wp:inline>
        </w:drawing>
      </w:r>
    </w:p>
    <w:p w14:paraId="0B5A8080" w14:textId="77777777" w:rsidR="00357EC5" w:rsidRDefault="00357EC5">
      <w:pPr>
        <w:spacing w:after="80"/>
      </w:pPr>
    </w:p>
    <w:p w14:paraId="76E1F598" w14:textId="77777777" w:rsidR="00357EC5" w:rsidRPr="007D0E58" w:rsidRDefault="00357EC5">
      <w:pPr>
        <w:spacing w:after="160"/>
      </w:pPr>
    </w:p>
    <w:p w14:paraId="36F9F6B5" w14:textId="2D752179" w:rsidR="00357EC5" w:rsidRDefault="00000000" w:rsidP="007D0E58">
      <w:pPr>
        <w:rPr>
          <w:b/>
          <w:bCs/>
          <w:sz w:val="34"/>
          <w:szCs w:val="34"/>
        </w:rPr>
      </w:pPr>
      <w:r w:rsidRPr="007D0E58">
        <w:rPr>
          <w:b/>
          <w:bCs/>
          <w:sz w:val="34"/>
          <w:szCs w:val="34"/>
        </w:rPr>
        <w:t>Real Alpha from TCGA Data</w:t>
      </w:r>
    </w:p>
    <w:p w14:paraId="62693629" w14:textId="77777777" w:rsidR="007D0E58" w:rsidRPr="007D0E58" w:rsidRDefault="007D0E58" w:rsidP="007D0E58"/>
    <w:p w14:paraId="280EC1EB" w14:textId="7FDA6A7D" w:rsidR="00357EC5" w:rsidRPr="007D0E58" w:rsidRDefault="00000000">
      <w:pPr>
        <w:spacing w:after="140"/>
      </w:pPr>
      <w:r w:rsidRPr="007D0E58">
        <w:t>What fraction of mutations in real TCGA MSS CRC tumours are attributable to colibactin? This is the ground truth alpha_true that all subsequent analyses are calibrated to.</w:t>
      </w:r>
    </w:p>
    <w:p w14:paraId="6FB73DC0" w14:textId="794FA51F" w:rsidR="00357EC5" w:rsidRPr="007D0E58" w:rsidRDefault="00000000">
      <w:pPr>
        <w:pStyle w:val="Heading2"/>
        <w:rPr>
          <w:color w:val="auto"/>
        </w:rPr>
      </w:pPr>
      <w:r w:rsidRPr="007D0E58">
        <w:rPr>
          <w:color w:val="auto"/>
        </w:rPr>
        <w:t>NNLS Attribution from Real Tumour Spectra</w:t>
      </w:r>
    </w:p>
    <w:p w14:paraId="63C8EA15" w14:textId="77777777" w:rsidR="00357EC5" w:rsidRDefault="00000000">
      <w:pPr>
        <w:spacing w:after="140"/>
      </w:pPr>
      <w:r>
        <w:t>The TCGA MC3 public MAF file was loaded in memory-efficient chunks and filtered to colorectal (COAD and READ) MSS samples using MSI status from clinical data. This produced 45,393 SNVs across 102 MSS CRC samples. SigProfilerMatrixGenerator (GRCh37) was used to build the 96-channel trinucleotide spectrum for each sample by looking up the flanking bases from the reference genome for each variant position.</w:t>
      </w:r>
    </w:p>
    <w:p w14:paraId="13332B4E" w14:textId="77777777" w:rsidR="00357EC5" w:rsidRDefault="00000000">
      <w:pPr>
        <w:spacing w:after="140"/>
      </w:pPr>
      <w:r>
        <w:t>Non-negative Least Squares (NNLS) attribution was then run on each sample's 96-channel spectrum, solving for the weights h of the four signature components:</w:t>
      </w:r>
    </w:p>
    <w:p w14:paraId="11E459ED" w14:textId="088E6EDF" w:rsidR="00357EC5" w:rsidRDefault="007D0E58">
      <w:pPr>
        <w:spacing w:after="160"/>
      </w:pPr>
      <w:r>
        <w:t>W @ h = spectrum,   h &gt;= 0  W is the 96×4 signature matrix: columns = [SBS1, SBS5, SBS18, SBS88] h[SBS88] / sum(h) = normalised SBS88 attribution = alpha for this sample</w:t>
      </w:r>
    </w:p>
    <w:p w14:paraId="005A8B9B" w14:textId="77777777" w:rsidR="00357EC5" w:rsidRDefault="00000000">
      <w:pPr>
        <w:spacing w:after="80"/>
        <w:jc w:val="center"/>
      </w:pPr>
      <w:r>
        <w:rPr>
          <w:noProof/>
        </w:rPr>
        <w:drawing>
          <wp:inline distT="0" distB="0" distL="0" distR="0" wp14:anchorId="3678AC46" wp14:editId="4E75D36C">
            <wp:extent cx="5943600" cy="2114550"/>
            <wp:effectExtent l="0" t="0" r="0" b="0"/>
            <wp:docPr id="1583600677" name="Picture 1583600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2114550"/>
                    </a:xfrm>
                    <a:prstGeom prst="rect">
                      <a:avLst/>
                    </a:prstGeom>
                  </pic:spPr>
                </pic:pic>
              </a:graphicData>
            </a:graphic>
          </wp:inline>
        </w:drawing>
      </w:r>
    </w:p>
    <w:p w14:paraId="1DCF12B8" w14:textId="77777777" w:rsidR="00357EC5" w:rsidRDefault="00357EC5">
      <w:pPr>
        <w:spacing w:after="80"/>
      </w:pPr>
    </w:p>
    <w:p w14:paraId="2C0DCE39" w14:textId="77777777" w:rsidR="00357EC5" w:rsidRDefault="00000000">
      <w:pPr>
        <w:spacing w:after="140"/>
      </w:pPr>
      <w:r>
        <w:t>The distribution is strongly right-skewed. A large fraction of samples have near-zero SBS88 attribution, consistent with the majority of CRC patients not harbouring pks+ E. coli. However, 51 of 102 samples (50.0%) exceed the 2.5% detection threshold and are classified as colibactin-positive.</w:t>
      </w:r>
    </w:p>
    <w:p w14:paraId="5014D150" w14:textId="157F0BB9" w:rsidR="00357EC5" w:rsidRDefault="007D0E58">
      <w:pPr>
        <w:spacing w:after="160"/>
      </w:pPr>
      <w:r>
        <w:rPr>
          <w:b/>
          <w:bCs/>
        </w:rPr>
        <w:t xml:space="preserve">Key result: </w:t>
      </w:r>
      <w:r>
        <w:t xml:space="preserve">Median NNLS-attributed SBS88 fraction in colibactin-positive MSS CRC cases: </w:t>
      </w:r>
      <w:r>
        <w:rPr>
          <w:b/>
          <w:bCs/>
        </w:rPr>
        <w:t>alpha_true = 8.41%</w:t>
      </w:r>
      <w:r>
        <w:t>. This means that in colibactin-positive tumours, approximately 1 in 12 somatic mutations was caused by colibactin damage from E. coli.</w:t>
      </w:r>
    </w:p>
    <w:p w14:paraId="49AEB78A" w14:textId="4DCC73E9" w:rsidR="00357EC5" w:rsidRPr="009714C2" w:rsidRDefault="00000000">
      <w:pPr>
        <w:pStyle w:val="Heading2"/>
        <w:rPr>
          <w:color w:val="auto"/>
        </w:rPr>
      </w:pPr>
      <w:r w:rsidRPr="009714C2">
        <w:rPr>
          <w:color w:val="auto"/>
        </w:rPr>
        <w:t>Loss Optimisation Three Independent Methods</w:t>
      </w:r>
    </w:p>
    <w:p w14:paraId="4EC3FBEE" w14:textId="77777777" w:rsidR="00357EC5" w:rsidRPr="009714C2" w:rsidRDefault="00000000">
      <w:pPr>
        <w:spacing w:after="140"/>
      </w:pPr>
      <w:r w:rsidRPr="009714C2">
        <w:t>To validate the real data estimate independently, a grid search was run across 26 candidate mean_a values from 0% to 50% for each of the three population distributions. At each candidate, 100 synthetic spectra were simulated and their expected spectrum computed. Three independent loss functions were evaluated:</w:t>
      </w:r>
    </w:p>
    <w:p w14:paraId="4FA4A849" w14:textId="77777777" w:rsidR="00357EC5" w:rsidRDefault="00357EC5">
      <w:pPr>
        <w:spacing w:after="80"/>
      </w:pPr>
    </w:p>
    <w:tbl>
      <w:tblPr>
        <w:tblStyle w:val="TableGrid"/>
        <w:tblW w:w="9360" w:type="dxa"/>
        <w:tblLook w:val="04A0" w:firstRow="1" w:lastRow="0" w:firstColumn="1" w:lastColumn="0" w:noHBand="0" w:noVBand="1"/>
      </w:tblPr>
      <w:tblGrid>
        <w:gridCol w:w="2600"/>
        <w:gridCol w:w="6760"/>
      </w:tblGrid>
      <w:tr w:rsidR="00357EC5" w14:paraId="101DD673" w14:textId="77777777" w:rsidTr="009714C2">
        <w:tc>
          <w:tcPr>
            <w:tcW w:w="2600" w:type="dxa"/>
          </w:tcPr>
          <w:p w14:paraId="7AD8D5A7" w14:textId="77777777" w:rsidR="00357EC5" w:rsidRDefault="00000000">
            <w:r>
              <w:rPr>
                <w:b/>
                <w:bCs/>
                <w:color w:val="FFFFFF"/>
                <w:sz w:val="21"/>
                <w:szCs w:val="21"/>
              </w:rPr>
              <w:t xml:space="preserve">Loss </w:t>
            </w:r>
            <w:r w:rsidRPr="009714C2">
              <w:rPr>
                <w:b/>
                <w:bCs/>
                <w:sz w:val="21"/>
                <w:szCs w:val="21"/>
              </w:rPr>
              <w:t>function</w:t>
            </w:r>
          </w:p>
        </w:tc>
        <w:tc>
          <w:tcPr>
            <w:tcW w:w="6760" w:type="dxa"/>
          </w:tcPr>
          <w:p w14:paraId="6B895F67" w14:textId="77777777" w:rsidR="00357EC5" w:rsidRPr="009714C2" w:rsidRDefault="00000000">
            <w:r w:rsidRPr="009714C2">
              <w:rPr>
                <w:sz w:val="21"/>
                <w:szCs w:val="21"/>
              </w:rPr>
              <w:t>What it measures</w:t>
            </w:r>
          </w:p>
        </w:tc>
      </w:tr>
      <w:tr w:rsidR="00357EC5" w14:paraId="0F8CCE5C" w14:textId="77777777" w:rsidTr="009714C2">
        <w:tc>
          <w:tcPr>
            <w:tcW w:w="2600" w:type="dxa"/>
          </w:tcPr>
          <w:p w14:paraId="63B8C022" w14:textId="77777777" w:rsidR="00357EC5" w:rsidRDefault="00000000">
            <w:r>
              <w:rPr>
                <w:b/>
                <w:bCs/>
                <w:color w:val="1F1F1F"/>
                <w:sz w:val="21"/>
                <w:szCs w:val="21"/>
              </w:rPr>
              <w:t>KL divergence loss</w:t>
            </w:r>
          </w:p>
        </w:tc>
        <w:tc>
          <w:tcPr>
            <w:tcW w:w="6760" w:type="dxa"/>
          </w:tcPr>
          <w:p w14:paraId="41AFC7B2" w14:textId="76FCDB3B" w:rsidR="00357EC5" w:rsidRDefault="00000000">
            <w:r>
              <w:rPr>
                <w:color w:val="1F1F1F"/>
                <w:sz w:val="21"/>
                <w:szCs w:val="21"/>
              </w:rPr>
              <w:t>KL(observed || E[spectrum]) information-theoretic distance. Minimised when the expected spectrum matches the observed in the fullest distributional sense.</w:t>
            </w:r>
          </w:p>
        </w:tc>
      </w:tr>
      <w:tr w:rsidR="00357EC5" w14:paraId="5667F29A" w14:textId="77777777" w:rsidTr="009714C2">
        <w:tc>
          <w:tcPr>
            <w:tcW w:w="2600" w:type="dxa"/>
          </w:tcPr>
          <w:p w14:paraId="27D558F8" w14:textId="77777777" w:rsidR="00357EC5" w:rsidRDefault="00000000">
            <w:r>
              <w:rPr>
                <w:b/>
                <w:bCs/>
                <w:color w:val="1F1F1F"/>
                <w:sz w:val="21"/>
                <w:szCs w:val="21"/>
              </w:rPr>
              <w:lastRenderedPageBreak/>
              <w:t>Cosine distance loss</w:t>
            </w:r>
          </w:p>
        </w:tc>
        <w:tc>
          <w:tcPr>
            <w:tcW w:w="6760" w:type="dxa"/>
          </w:tcPr>
          <w:p w14:paraId="3EC2E8C0" w14:textId="5D736F67" w:rsidR="00357EC5" w:rsidRDefault="00000000">
            <w:r>
              <w:rPr>
                <w:color w:val="1F1F1F"/>
                <w:sz w:val="21"/>
                <w:szCs w:val="21"/>
              </w:rPr>
              <w:t>1 - cosine(observed, E[spectrum])  angular difference in 96D space. Measures spectral shape similarity, insensitive to scale.</w:t>
            </w:r>
          </w:p>
        </w:tc>
      </w:tr>
      <w:tr w:rsidR="00357EC5" w14:paraId="0D69C75C" w14:textId="77777777" w:rsidTr="009714C2">
        <w:tc>
          <w:tcPr>
            <w:tcW w:w="2600" w:type="dxa"/>
          </w:tcPr>
          <w:p w14:paraId="6CD2EA84" w14:textId="77777777" w:rsidR="00357EC5" w:rsidRDefault="00000000">
            <w:r>
              <w:rPr>
                <w:b/>
                <w:bCs/>
                <w:color w:val="1F1F1F"/>
                <w:sz w:val="21"/>
                <w:szCs w:val="21"/>
              </w:rPr>
              <w:t>NNLS attribution loss</w:t>
            </w:r>
          </w:p>
        </w:tc>
        <w:tc>
          <w:tcPr>
            <w:tcW w:w="6760" w:type="dxa"/>
          </w:tcPr>
          <w:p w14:paraId="727BAB5B" w14:textId="1101DF11" w:rsidR="00357EC5" w:rsidRDefault="00000000">
            <w:r>
              <w:rPr>
                <w:color w:val="1F1F1F"/>
                <w:sz w:val="21"/>
                <w:szCs w:val="21"/>
              </w:rPr>
              <w:t>|NNLS_SBS88(E[spectrum]) - alpha_true| how accurately does NNLS attribution recover the true alpha from the expected spectrum?</w:t>
            </w:r>
          </w:p>
        </w:tc>
      </w:tr>
    </w:tbl>
    <w:p w14:paraId="2E11CD4B" w14:textId="77777777" w:rsidR="00357EC5" w:rsidRDefault="00357EC5">
      <w:pPr>
        <w:spacing w:after="80"/>
      </w:pPr>
    </w:p>
    <w:p w14:paraId="7BFD8AE9" w14:textId="77777777" w:rsidR="00357EC5" w:rsidRDefault="00000000">
      <w:pPr>
        <w:spacing w:after="80"/>
        <w:jc w:val="center"/>
      </w:pPr>
      <w:r>
        <w:rPr>
          <w:noProof/>
        </w:rPr>
        <w:drawing>
          <wp:inline distT="0" distB="0" distL="0" distR="0" wp14:anchorId="193CA67C" wp14:editId="46CBAB21">
            <wp:extent cx="5943600" cy="1685925"/>
            <wp:effectExtent l="0" t="0" r="0" b="0"/>
            <wp:docPr id="1491581915" name="Picture 149158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685925"/>
                    </a:xfrm>
                    <a:prstGeom prst="rect">
                      <a:avLst/>
                    </a:prstGeom>
                  </pic:spPr>
                </pic:pic>
              </a:graphicData>
            </a:graphic>
          </wp:inline>
        </w:drawing>
      </w:r>
    </w:p>
    <w:p w14:paraId="18BA61C5" w14:textId="77777777" w:rsidR="00357EC5" w:rsidRDefault="00357EC5">
      <w:pPr>
        <w:spacing w:after="80"/>
      </w:pPr>
    </w:p>
    <w:p w14:paraId="41457DE9" w14:textId="77777777" w:rsidR="00357EC5" w:rsidRDefault="00000000">
      <w:pPr>
        <w:spacing w:after="140"/>
      </w:pPr>
      <w:r>
        <w:t>All three loss functions reach their minimum close to the real alpha value. The loss curves show a clear single minimum near 8-10% for all distributions and all three metrics. The filled circles (optima) are tightly clustered around the real data estimate.</w:t>
      </w:r>
    </w:p>
    <w:p w14:paraId="21FC2817" w14:textId="77777777" w:rsidR="00357EC5" w:rsidRDefault="00357EC5">
      <w:pPr>
        <w:spacing w:after="80"/>
      </w:pPr>
    </w:p>
    <w:tbl>
      <w:tblPr>
        <w:tblStyle w:val="TableGrid"/>
        <w:tblW w:w="9360" w:type="dxa"/>
        <w:tblLook w:val="04A0" w:firstRow="1" w:lastRow="0" w:firstColumn="1" w:lastColumn="0" w:noHBand="0" w:noVBand="1"/>
      </w:tblPr>
      <w:tblGrid>
        <w:gridCol w:w="2600"/>
        <w:gridCol w:w="6760"/>
      </w:tblGrid>
      <w:tr w:rsidR="00357EC5" w14:paraId="6360706C" w14:textId="77777777" w:rsidTr="009714C2">
        <w:tc>
          <w:tcPr>
            <w:tcW w:w="2600" w:type="dxa"/>
          </w:tcPr>
          <w:p w14:paraId="619AC907" w14:textId="77777777" w:rsidR="00357EC5" w:rsidRPr="009714C2" w:rsidRDefault="00000000">
            <w:r w:rsidRPr="009714C2">
              <w:rPr>
                <w:b/>
                <w:bCs/>
                <w:sz w:val="21"/>
                <w:szCs w:val="21"/>
              </w:rPr>
              <w:t>Distribution</w:t>
            </w:r>
          </w:p>
        </w:tc>
        <w:tc>
          <w:tcPr>
            <w:tcW w:w="6760" w:type="dxa"/>
          </w:tcPr>
          <w:p w14:paraId="0A1F071C" w14:textId="77777777" w:rsidR="00357EC5" w:rsidRDefault="00000000">
            <w:r w:rsidRPr="009714C2">
              <w:rPr>
                <w:sz w:val="21"/>
                <w:szCs w:val="21"/>
              </w:rPr>
              <w:t xml:space="preserve">Optimal </w:t>
            </w:r>
            <w:r>
              <w:rPr>
                <w:color w:val="FFFFFF"/>
                <w:sz w:val="21"/>
                <w:szCs w:val="21"/>
              </w:rPr>
              <w:t>alpha under each loss</w:t>
            </w:r>
          </w:p>
        </w:tc>
      </w:tr>
      <w:tr w:rsidR="00357EC5" w14:paraId="35FE2E3C" w14:textId="77777777" w:rsidTr="009714C2">
        <w:tc>
          <w:tcPr>
            <w:tcW w:w="2600" w:type="dxa"/>
          </w:tcPr>
          <w:p w14:paraId="05C5C25E" w14:textId="77777777" w:rsidR="00357EC5" w:rsidRDefault="00000000">
            <w:r>
              <w:rPr>
                <w:b/>
                <w:bCs/>
                <w:color w:val="1F1F1F"/>
                <w:sz w:val="21"/>
                <w:szCs w:val="21"/>
              </w:rPr>
              <w:t>Gaussian</w:t>
            </w:r>
          </w:p>
        </w:tc>
        <w:tc>
          <w:tcPr>
            <w:tcW w:w="6760" w:type="dxa"/>
          </w:tcPr>
          <w:p w14:paraId="0EBE4F8B" w14:textId="77777777" w:rsidR="00357EC5" w:rsidRDefault="00000000">
            <w:r>
              <w:rPr>
                <w:color w:val="1F1F1F"/>
                <w:sz w:val="21"/>
                <w:szCs w:val="21"/>
              </w:rPr>
              <w:t>KL opt=10.0%   Cos opt=10.0%   NNLS opt=8.0%   Agree: YES</w:t>
            </w:r>
          </w:p>
        </w:tc>
      </w:tr>
      <w:tr w:rsidR="00357EC5" w14:paraId="18C4A812" w14:textId="77777777" w:rsidTr="009714C2">
        <w:tc>
          <w:tcPr>
            <w:tcW w:w="2600" w:type="dxa"/>
          </w:tcPr>
          <w:p w14:paraId="73408A1D" w14:textId="77777777" w:rsidR="00357EC5" w:rsidRDefault="00000000">
            <w:r>
              <w:rPr>
                <w:b/>
                <w:bCs/>
                <w:color w:val="1F1F1F"/>
                <w:sz w:val="21"/>
                <w:szCs w:val="21"/>
              </w:rPr>
              <w:t>Beta</w:t>
            </w:r>
          </w:p>
        </w:tc>
        <w:tc>
          <w:tcPr>
            <w:tcW w:w="6760" w:type="dxa"/>
          </w:tcPr>
          <w:p w14:paraId="0DFF5DF8" w14:textId="77777777" w:rsidR="00357EC5" w:rsidRDefault="00000000">
            <w:r>
              <w:rPr>
                <w:color w:val="1F1F1F"/>
                <w:sz w:val="21"/>
                <w:szCs w:val="21"/>
              </w:rPr>
              <w:t>KL opt=8.0%    Cos opt=8.0%    NNLS opt=8.0%   Agree: YES</w:t>
            </w:r>
          </w:p>
        </w:tc>
      </w:tr>
      <w:tr w:rsidR="00357EC5" w14:paraId="5872D082" w14:textId="77777777" w:rsidTr="009714C2">
        <w:tc>
          <w:tcPr>
            <w:tcW w:w="2600" w:type="dxa"/>
          </w:tcPr>
          <w:p w14:paraId="4B707E20" w14:textId="77777777" w:rsidR="00357EC5" w:rsidRDefault="00000000">
            <w:r>
              <w:rPr>
                <w:b/>
                <w:bCs/>
                <w:color w:val="1F1F1F"/>
                <w:sz w:val="21"/>
                <w:szCs w:val="21"/>
              </w:rPr>
              <w:t>LogNormal</w:t>
            </w:r>
          </w:p>
        </w:tc>
        <w:tc>
          <w:tcPr>
            <w:tcW w:w="6760" w:type="dxa"/>
          </w:tcPr>
          <w:p w14:paraId="35A36552" w14:textId="3567688F" w:rsidR="00357EC5" w:rsidRDefault="00000000">
            <w:r>
              <w:rPr>
                <w:color w:val="1F1F1F"/>
                <w:sz w:val="21"/>
                <w:szCs w:val="21"/>
              </w:rPr>
              <w:t xml:space="preserve">KL opt=10.0%   Cos opt=10.0%   NNLS opt=8.0%   Agree: </w:t>
            </w:r>
            <w:proofErr w:type="gramStart"/>
            <w:r>
              <w:rPr>
                <w:color w:val="1F1F1F"/>
                <w:sz w:val="21"/>
                <w:szCs w:val="21"/>
              </w:rPr>
              <w:t>YES</w:t>
            </w:r>
            <w:proofErr w:type="gramEnd"/>
            <w:r w:rsidR="008507EC">
              <w:rPr>
                <w:color w:val="1F1F1F"/>
                <w:sz w:val="21"/>
                <w:szCs w:val="21"/>
              </w:rPr>
              <w:t xml:space="preserve"> THIS WAS BEST</w:t>
            </w:r>
          </w:p>
        </w:tc>
      </w:tr>
    </w:tbl>
    <w:p w14:paraId="47B5DD46" w14:textId="77777777" w:rsidR="00357EC5" w:rsidRDefault="00357EC5">
      <w:pPr>
        <w:spacing w:after="80"/>
      </w:pPr>
    </w:p>
    <w:p w14:paraId="26F69C4D" w14:textId="77777777" w:rsidR="00357EC5" w:rsidRDefault="00000000">
      <w:pPr>
        <w:spacing w:after="140"/>
      </w:pPr>
      <w:r>
        <w:rPr>
          <w:b/>
          <w:bCs/>
        </w:rPr>
        <w:t xml:space="preserve">Best-fitting distribution: </w:t>
      </w:r>
      <w:r>
        <w:t>LogNormal (lowest KL divergence). Optimal alpha = 10%. The real TCGA value of 8.41% falls within one grid step (2%) of the optimum for every distribution and every loss function. This cross-validation confirms that the SBS88 signal in real TCGA tumours is consistent with a LogNormal population exposure model at approximately 8-10% colibactin fraction.</w:t>
      </w:r>
    </w:p>
    <w:p w14:paraId="5DD6EF97" w14:textId="77777777" w:rsidR="00357EC5" w:rsidRDefault="00357EC5">
      <w:pPr>
        <w:spacing w:after="160"/>
      </w:pPr>
    </w:p>
    <w:p w14:paraId="19B267D9" w14:textId="6CFFEE28" w:rsidR="00357EC5" w:rsidRDefault="00357EC5"/>
    <w:sectPr w:rsidR="00357EC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EEA"/>
    <w:multiLevelType w:val="hybridMultilevel"/>
    <w:tmpl w:val="1886318A"/>
    <w:lvl w:ilvl="0" w:tplc="0980C9D6">
      <w:start w:val="1"/>
      <w:numFmt w:val="bullet"/>
      <w:lvlText w:val="•"/>
      <w:lvlJc w:val="left"/>
      <w:pPr>
        <w:ind w:left="720" w:hanging="360"/>
      </w:pPr>
    </w:lvl>
    <w:lvl w:ilvl="1" w:tplc="C70469CA">
      <w:numFmt w:val="decimal"/>
      <w:lvlText w:val=""/>
      <w:lvlJc w:val="left"/>
    </w:lvl>
    <w:lvl w:ilvl="2" w:tplc="C4348C6E">
      <w:numFmt w:val="decimal"/>
      <w:lvlText w:val=""/>
      <w:lvlJc w:val="left"/>
    </w:lvl>
    <w:lvl w:ilvl="3" w:tplc="D2BE3A94">
      <w:numFmt w:val="decimal"/>
      <w:lvlText w:val=""/>
      <w:lvlJc w:val="left"/>
    </w:lvl>
    <w:lvl w:ilvl="4" w:tplc="CF4886B2">
      <w:numFmt w:val="decimal"/>
      <w:lvlText w:val=""/>
      <w:lvlJc w:val="left"/>
    </w:lvl>
    <w:lvl w:ilvl="5" w:tplc="C7F47A90">
      <w:numFmt w:val="decimal"/>
      <w:lvlText w:val=""/>
      <w:lvlJc w:val="left"/>
    </w:lvl>
    <w:lvl w:ilvl="6" w:tplc="48728BEC">
      <w:numFmt w:val="decimal"/>
      <w:lvlText w:val=""/>
      <w:lvlJc w:val="left"/>
    </w:lvl>
    <w:lvl w:ilvl="7" w:tplc="545CE3C0">
      <w:numFmt w:val="decimal"/>
      <w:lvlText w:val=""/>
      <w:lvlJc w:val="left"/>
    </w:lvl>
    <w:lvl w:ilvl="8" w:tplc="FB0C983C">
      <w:numFmt w:val="decimal"/>
      <w:lvlText w:val=""/>
      <w:lvlJc w:val="left"/>
    </w:lvl>
  </w:abstractNum>
  <w:abstractNum w:abstractNumId="1" w15:restartNumberingAfterBreak="0">
    <w:nsid w:val="344277D7"/>
    <w:multiLevelType w:val="hybridMultilevel"/>
    <w:tmpl w:val="00C005BA"/>
    <w:lvl w:ilvl="0" w:tplc="0E80B8A4">
      <w:start w:val="1"/>
      <w:numFmt w:val="bullet"/>
      <w:lvlText w:val="●"/>
      <w:lvlJc w:val="left"/>
      <w:pPr>
        <w:ind w:left="720" w:hanging="360"/>
      </w:pPr>
    </w:lvl>
    <w:lvl w:ilvl="1" w:tplc="169CDA26">
      <w:start w:val="1"/>
      <w:numFmt w:val="bullet"/>
      <w:lvlText w:val="○"/>
      <w:lvlJc w:val="left"/>
      <w:pPr>
        <w:ind w:left="1440" w:hanging="360"/>
      </w:pPr>
    </w:lvl>
    <w:lvl w:ilvl="2" w:tplc="8E54B1AA">
      <w:start w:val="1"/>
      <w:numFmt w:val="bullet"/>
      <w:lvlText w:val="■"/>
      <w:lvlJc w:val="left"/>
      <w:pPr>
        <w:ind w:left="2160" w:hanging="360"/>
      </w:pPr>
    </w:lvl>
    <w:lvl w:ilvl="3" w:tplc="4D9E1052">
      <w:start w:val="1"/>
      <w:numFmt w:val="bullet"/>
      <w:lvlText w:val="●"/>
      <w:lvlJc w:val="left"/>
      <w:pPr>
        <w:ind w:left="2880" w:hanging="360"/>
      </w:pPr>
    </w:lvl>
    <w:lvl w:ilvl="4" w:tplc="996C2EA4">
      <w:start w:val="1"/>
      <w:numFmt w:val="bullet"/>
      <w:lvlText w:val="○"/>
      <w:lvlJc w:val="left"/>
      <w:pPr>
        <w:ind w:left="3600" w:hanging="360"/>
      </w:pPr>
    </w:lvl>
    <w:lvl w:ilvl="5" w:tplc="9258A244">
      <w:start w:val="1"/>
      <w:numFmt w:val="bullet"/>
      <w:lvlText w:val="■"/>
      <w:lvlJc w:val="left"/>
      <w:pPr>
        <w:ind w:left="4320" w:hanging="360"/>
      </w:pPr>
    </w:lvl>
    <w:lvl w:ilvl="6" w:tplc="76F4D4AC">
      <w:start w:val="1"/>
      <w:numFmt w:val="bullet"/>
      <w:lvlText w:val="●"/>
      <w:lvlJc w:val="left"/>
      <w:pPr>
        <w:ind w:left="5040" w:hanging="360"/>
      </w:pPr>
    </w:lvl>
    <w:lvl w:ilvl="7" w:tplc="501212FE">
      <w:start w:val="1"/>
      <w:numFmt w:val="bullet"/>
      <w:lvlText w:val="●"/>
      <w:lvlJc w:val="left"/>
      <w:pPr>
        <w:ind w:left="5760" w:hanging="360"/>
      </w:pPr>
    </w:lvl>
    <w:lvl w:ilvl="8" w:tplc="1304E328">
      <w:start w:val="1"/>
      <w:numFmt w:val="bullet"/>
      <w:lvlText w:val="●"/>
      <w:lvlJc w:val="left"/>
      <w:pPr>
        <w:ind w:left="6480" w:hanging="360"/>
      </w:pPr>
    </w:lvl>
  </w:abstractNum>
  <w:abstractNum w:abstractNumId="2" w15:restartNumberingAfterBreak="0">
    <w:nsid w:val="3CFC5385"/>
    <w:multiLevelType w:val="hybridMultilevel"/>
    <w:tmpl w:val="B6627964"/>
    <w:lvl w:ilvl="0" w:tplc="9132AB4E">
      <w:start w:val="1"/>
      <w:numFmt w:val="decimal"/>
      <w:lvlText w:val="%1."/>
      <w:lvlJc w:val="left"/>
      <w:pPr>
        <w:ind w:left="720" w:hanging="360"/>
      </w:pPr>
    </w:lvl>
    <w:lvl w:ilvl="1" w:tplc="390ABCC4">
      <w:numFmt w:val="decimal"/>
      <w:lvlText w:val=""/>
      <w:lvlJc w:val="left"/>
    </w:lvl>
    <w:lvl w:ilvl="2" w:tplc="59A0B1BE">
      <w:numFmt w:val="decimal"/>
      <w:lvlText w:val=""/>
      <w:lvlJc w:val="left"/>
    </w:lvl>
    <w:lvl w:ilvl="3" w:tplc="606EDF8C">
      <w:numFmt w:val="decimal"/>
      <w:lvlText w:val=""/>
      <w:lvlJc w:val="left"/>
    </w:lvl>
    <w:lvl w:ilvl="4" w:tplc="98E88294">
      <w:numFmt w:val="decimal"/>
      <w:lvlText w:val=""/>
      <w:lvlJc w:val="left"/>
    </w:lvl>
    <w:lvl w:ilvl="5" w:tplc="0EEA81C4">
      <w:numFmt w:val="decimal"/>
      <w:lvlText w:val=""/>
      <w:lvlJc w:val="left"/>
    </w:lvl>
    <w:lvl w:ilvl="6" w:tplc="BFDCDD98">
      <w:numFmt w:val="decimal"/>
      <w:lvlText w:val=""/>
      <w:lvlJc w:val="left"/>
    </w:lvl>
    <w:lvl w:ilvl="7" w:tplc="979E35B4">
      <w:numFmt w:val="decimal"/>
      <w:lvlText w:val=""/>
      <w:lvlJc w:val="left"/>
    </w:lvl>
    <w:lvl w:ilvl="8" w:tplc="C4CC6DBC">
      <w:numFmt w:val="decimal"/>
      <w:lvlText w:val=""/>
      <w:lvlJc w:val="left"/>
    </w:lvl>
  </w:abstractNum>
  <w:abstractNum w:abstractNumId="3" w15:restartNumberingAfterBreak="0">
    <w:nsid w:val="52832E3A"/>
    <w:multiLevelType w:val="hybridMultilevel"/>
    <w:tmpl w:val="133C6844"/>
    <w:lvl w:ilvl="0" w:tplc="E8300520">
      <w:start w:val="1"/>
      <w:numFmt w:val="decimal"/>
      <w:lvlText w:val="%1."/>
      <w:lvlJc w:val="left"/>
      <w:pPr>
        <w:ind w:left="828" w:hanging="468"/>
      </w:pPr>
      <w:rPr>
        <w:rFonts w:hint="default"/>
        <w:b/>
        <w:color w:val="1B3A5C"/>
        <w:sz w:val="3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472748455">
    <w:abstractNumId w:val="1"/>
    <w:lvlOverride w:ilvl="0">
      <w:startOverride w:val="1"/>
    </w:lvlOverride>
  </w:num>
  <w:num w:numId="2" w16cid:durableId="649789747">
    <w:abstractNumId w:val="0"/>
    <w:lvlOverride w:ilvl="0">
      <w:startOverride w:val="1"/>
    </w:lvlOverride>
  </w:num>
  <w:num w:numId="3" w16cid:durableId="1024597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7EC5"/>
    <w:rsid w:val="00357EC5"/>
    <w:rsid w:val="005A181B"/>
    <w:rsid w:val="006F2544"/>
    <w:rsid w:val="007D0E58"/>
    <w:rsid w:val="008507EC"/>
    <w:rsid w:val="009714C2"/>
    <w:rsid w:val="00E512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1995D"/>
  <w15:docId w15:val="{AC8F4D23-3618-46D9-92F8-803F9FEF6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3A5C"/>
      <w:sz w:val="34"/>
      <w:szCs w:val="34"/>
    </w:rPr>
  </w:style>
  <w:style w:type="paragraph" w:styleId="Heading2">
    <w:name w:val="heading 2"/>
    <w:uiPriority w:val="9"/>
    <w:unhideWhenUsed/>
    <w:qFormat/>
    <w:pPr>
      <w:spacing w:before="280" w:after="100"/>
      <w:outlineLvl w:val="1"/>
    </w:pPr>
    <w:rPr>
      <w:b/>
      <w:bCs/>
      <w:color w:val="1B6CA8"/>
      <w:sz w:val="26"/>
      <w:szCs w:val="26"/>
    </w:rPr>
  </w:style>
  <w:style w:type="paragraph" w:styleId="Heading3">
    <w:name w:val="heading 3"/>
    <w:uiPriority w:val="9"/>
    <w:semiHidden/>
    <w:unhideWhenUsed/>
    <w:qFormat/>
    <w:pPr>
      <w:spacing w:before="20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7D0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882</Words>
  <Characters>5032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Adele White</cp:lastModifiedBy>
  <cp:revision>2</cp:revision>
  <dcterms:created xsi:type="dcterms:W3CDTF">2026-03-17T15:14:00Z</dcterms:created>
  <dcterms:modified xsi:type="dcterms:W3CDTF">2026-03-17T15:14:00Z</dcterms:modified>
</cp:coreProperties>
</file>