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6925" w14:textId="4F03942A" w:rsidR="00CE22A9" w:rsidRDefault="00CE22A9" w:rsidP="00CE22A9">
      <w:pPr>
        <w:pStyle w:val="Heading6"/>
        <w:rPr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5757ED97" wp14:editId="08E2CB8A">
            <wp:extent cx="5731510" cy="3254375"/>
            <wp:effectExtent l="0" t="0" r="0" b="0"/>
            <wp:docPr id="559712399" name="Picture 1" descr="A diagram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12399" name="Picture 1" descr="A diagram of different colored ba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Supplementary Figure 12</w:t>
      </w:r>
      <w:r>
        <w:rPr>
          <w:color w:val="000000"/>
        </w:rPr>
        <w:t xml:space="preserve">. The distribution of CMS subtypes amongst CRCs with different 20AARs. </w:t>
      </w:r>
    </w:p>
    <w:p w14:paraId="706A7E11" w14:textId="77777777" w:rsidR="00CE22A9" w:rsidRDefault="00CE22A9" w:rsidP="00CE22A9">
      <w:pP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(a) The number of CRCs per CMS subtype in the subset of TCGA for which RNA </w:t>
      </w:r>
      <w:proofErr w:type="spellStart"/>
      <w:r>
        <w:rPr>
          <w:sz w:val="20"/>
          <w:szCs w:val="20"/>
          <w:highlight w:val="white"/>
        </w:rPr>
        <w:t>seq</w:t>
      </w:r>
      <w:proofErr w:type="spellEnd"/>
      <w:r>
        <w:rPr>
          <w:sz w:val="20"/>
          <w:szCs w:val="20"/>
          <w:highlight w:val="white"/>
        </w:rPr>
        <w:t xml:space="preserve"> and genomic data was available (n=509), with blue denoting the number of CRCs with no oncogenic </w:t>
      </w:r>
      <w:r>
        <w:rPr>
          <w:i/>
          <w:sz w:val="20"/>
          <w:szCs w:val="20"/>
          <w:highlight w:val="white"/>
        </w:rPr>
        <w:t>APC</w:t>
      </w:r>
      <w:r>
        <w:rPr>
          <w:sz w:val="20"/>
          <w:szCs w:val="20"/>
          <w:highlight w:val="white"/>
        </w:rPr>
        <w:t xml:space="preserve"> mutations, and red denoting those with oncogenic </w:t>
      </w:r>
      <w:r>
        <w:rPr>
          <w:i/>
          <w:sz w:val="20"/>
          <w:szCs w:val="20"/>
          <w:highlight w:val="white"/>
        </w:rPr>
        <w:t>APC</w:t>
      </w:r>
      <w:r>
        <w:rPr>
          <w:sz w:val="20"/>
          <w:szCs w:val="20"/>
          <w:highlight w:val="white"/>
        </w:rPr>
        <w:t xml:space="preserve"> mutations. CMS classification was called using R package </w:t>
      </w:r>
      <w:proofErr w:type="spellStart"/>
      <w:r>
        <w:rPr>
          <w:sz w:val="20"/>
          <w:szCs w:val="20"/>
          <w:highlight w:val="white"/>
        </w:rPr>
        <w:t>CMSclassifier</w:t>
      </w:r>
      <w:proofErr w:type="spellEnd"/>
      <w:r>
        <w:rPr>
          <w:sz w:val="20"/>
          <w:szCs w:val="20"/>
          <w:highlight w:val="white"/>
        </w:rPr>
        <w:t xml:space="preserve"> </w:t>
      </w:r>
      <w:hyperlink r:id="rId5">
        <w:r>
          <w:rPr>
            <w:color w:val="000000"/>
            <w:sz w:val="20"/>
            <w:szCs w:val="20"/>
            <w:highlight w:val="white"/>
          </w:rPr>
          <w:t>[6]</w:t>
        </w:r>
      </w:hyperlink>
      <w:r>
        <w:rPr>
          <w:sz w:val="20"/>
          <w:szCs w:val="20"/>
          <w:highlight w:val="white"/>
        </w:rPr>
        <w:t xml:space="preserve"> (Methods M1.4). (b) For CRCs with APC inactivation, the fraction of different numbers of retained 20AARs per CMS subtype. (c) Progression-weighted mean 20AARs of CRCs in both cohorts stratified by CMS subtype, with vertical lines denoting the 95% confidence intervals. The difference between the progression-weighted means of CMS2 and CMS3 in TCGA CRCs was found to be statistically significant (P=0.0048).</w:t>
      </w:r>
    </w:p>
    <w:p w14:paraId="27393406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A9"/>
    <w:rsid w:val="004535C0"/>
    <w:rsid w:val="00523737"/>
    <w:rsid w:val="007C41EE"/>
    <w:rsid w:val="009860CF"/>
    <w:rsid w:val="00C47803"/>
    <w:rsid w:val="00C6366D"/>
    <w:rsid w:val="00CE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B9A05"/>
  <w15:chartTrackingRefBased/>
  <w15:docId w15:val="{B841DDB5-F9FA-F041-B9F0-FCAC42A7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2A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2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22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perpile.com/c/CN9ksY/R2y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2025-09-30T18:09:00Z</dcterms:created>
  <dcterms:modified xsi:type="dcterms:W3CDTF">2025-09-30T18:09:00Z</dcterms:modified>
</cp:coreProperties>
</file>