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12ECB" w14:textId="76661E0A" w:rsidR="006E2CEB" w:rsidRDefault="006E2CEB" w:rsidP="006E2CEB">
      <w:pPr>
        <w:pStyle w:val="Heading6"/>
        <w:spacing w:before="60" w:line="240" w:lineRule="auto"/>
        <w:jc w:val="both"/>
        <w:rPr>
          <w:color w:val="000000"/>
        </w:rPr>
      </w:pPr>
      <w:r>
        <w:rPr>
          <w:b/>
          <w:noProof/>
          <w:color w:val="000000"/>
        </w:rPr>
        <w:drawing>
          <wp:inline distT="0" distB="0" distL="0" distR="0" wp14:anchorId="469B6AB5" wp14:editId="496D610A">
            <wp:extent cx="5731510" cy="3254375"/>
            <wp:effectExtent l="0" t="0" r="0" b="0"/>
            <wp:docPr id="172890400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04006" name="Picture 1" descr="A screenshot of a graph&#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54375"/>
                    </a:xfrm>
                    <a:prstGeom prst="rect">
                      <a:avLst/>
                    </a:prstGeom>
                  </pic:spPr>
                </pic:pic>
              </a:graphicData>
            </a:graphic>
          </wp:inline>
        </w:drawing>
      </w:r>
      <w:r>
        <w:rPr>
          <w:b/>
          <w:color w:val="000000"/>
        </w:rPr>
        <w:t>Supplementary Figure 13.</w:t>
      </w:r>
      <w:r>
        <w:rPr>
          <w:color w:val="000000"/>
        </w:rPr>
        <w:t xml:space="preserve"> Comparison of classification of secondary </w:t>
      </w:r>
      <w:proofErr w:type="spellStart"/>
      <w:r>
        <w:rPr>
          <w:color w:val="000000"/>
        </w:rPr>
        <w:t>Wnt</w:t>
      </w:r>
      <w:proofErr w:type="spellEnd"/>
      <w:r>
        <w:rPr>
          <w:color w:val="000000"/>
        </w:rPr>
        <w:t xml:space="preserve"> regulators based on retained number 20AARs and expression measures. </w:t>
      </w:r>
    </w:p>
    <w:p w14:paraId="23ECD320" w14:textId="77777777" w:rsidR="006E2CEB" w:rsidRDefault="006E2CEB" w:rsidP="006E2CEB">
      <w:pPr>
        <w:jc w:val="both"/>
        <w:rPr>
          <w:sz w:val="20"/>
          <w:szCs w:val="20"/>
        </w:rPr>
      </w:pPr>
      <w:r>
        <w:rPr>
          <w:sz w:val="20"/>
          <w:szCs w:val="20"/>
        </w:rPr>
        <w:t xml:space="preserve">The progression-weighted difference in mean 20AARs calculated from bulk sequence data of tumours in the 100kGP cohort (Figure 5d) against (a) the weighted difference in mean AXIN2 RNA expression (RSEM normalised counts, Mutant- WT) in CRCs with biallelic APC inactivation and mutations on secondary </w:t>
      </w:r>
      <w:proofErr w:type="spellStart"/>
      <w:r>
        <w:rPr>
          <w:sz w:val="20"/>
          <w:szCs w:val="20"/>
        </w:rPr>
        <w:t>Wnt</w:t>
      </w:r>
      <w:proofErr w:type="spellEnd"/>
      <w:r>
        <w:rPr>
          <w:sz w:val="20"/>
          <w:szCs w:val="20"/>
        </w:rPr>
        <w:t xml:space="preserve"> regulator from TCGA cohort (n=243) and (b) the weighted difference in mean AXIN2 RNA expression (TPM) for a subset of CRCs in the 100kGP cohort with biallelic APC inactivation and mutations on secondary </w:t>
      </w:r>
      <w:proofErr w:type="spellStart"/>
      <w:r>
        <w:rPr>
          <w:sz w:val="20"/>
          <w:szCs w:val="20"/>
        </w:rPr>
        <w:t>Wnt</w:t>
      </w:r>
      <w:proofErr w:type="spellEnd"/>
      <w:r>
        <w:rPr>
          <w:sz w:val="20"/>
          <w:szCs w:val="20"/>
        </w:rPr>
        <w:t xml:space="preserve"> regulators (n=89). The weighted difference in AXIN2 expression is obtained by weighting the per 20AAR differences (mutant - WT) by their relative frequencies (Supplementary Tables 11-12). For AMER1 and SOX9, the genetic data and the two cohorts of RNA sequence data are in concordance with an increased level of </w:t>
      </w:r>
      <w:proofErr w:type="spellStart"/>
      <w:r>
        <w:rPr>
          <w:sz w:val="20"/>
          <w:szCs w:val="20"/>
        </w:rPr>
        <w:t>Wnt</w:t>
      </w:r>
      <w:proofErr w:type="spellEnd"/>
      <w:r>
        <w:rPr>
          <w:sz w:val="20"/>
          <w:szCs w:val="20"/>
        </w:rPr>
        <w:t xml:space="preserve"> regulation in </w:t>
      </w:r>
      <w:proofErr w:type="spellStart"/>
      <w:r>
        <w:rPr>
          <w:sz w:val="20"/>
          <w:szCs w:val="20"/>
        </w:rPr>
        <w:t>tumors</w:t>
      </w:r>
      <w:proofErr w:type="spellEnd"/>
      <w:r>
        <w:rPr>
          <w:sz w:val="20"/>
          <w:szCs w:val="20"/>
        </w:rPr>
        <w:t xml:space="preserve"> with driver mutations (quadrant </w:t>
      </w:r>
      <w:proofErr w:type="spellStart"/>
      <w:r>
        <w:rPr>
          <w:sz w:val="20"/>
          <w:szCs w:val="20"/>
        </w:rPr>
        <w:t>colored</w:t>
      </w:r>
      <w:proofErr w:type="spellEnd"/>
      <w:r>
        <w:rPr>
          <w:sz w:val="20"/>
          <w:szCs w:val="20"/>
        </w:rPr>
        <w:t xml:space="preserve"> in red). For TCF7L2, the genetic data and the two cohorts of RNA sequence data are in concordance with a reduced level of </w:t>
      </w:r>
      <w:proofErr w:type="spellStart"/>
      <w:r>
        <w:rPr>
          <w:sz w:val="20"/>
          <w:szCs w:val="20"/>
        </w:rPr>
        <w:t>Wnt</w:t>
      </w:r>
      <w:proofErr w:type="spellEnd"/>
      <w:r>
        <w:rPr>
          <w:sz w:val="20"/>
          <w:szCs w:val="20"/>
        </w:rPr>
        <w:t xml:space="preserve"> regulation in </w:t>
      </w:r>
      <w:proofErr w:type="spellStart"/>
      <w:r>
        <w:rPr>
          <w:sz w:val="20"/>
          <w:szCs w:val="20"/>
        </w:rPr>
        <w:t>tumors</w:t>
      </w:r>
      <w:proofErr w:type="spellEnd"/>
      <w:r>
        <w:rPr>
          <w:sz w:val="20"/>
          <w:szCs w:val="20"/>
        </w:rPr>
        <w:t xml:space="preserve"> with driver mutations (quadrant </w:t>
      </w:r>
      <w:proofErr w:type="spellStart"/>
      <w:r>
        <w:rPr>
          <w:sz w:val="20"/>
          <w:szCs w:val="20"/>
        </w:rPr>
        <w:t>colored</w:t>
      </w:r>
      <w:proofErr w:type="spellEnd"/>
      <w:r>
        <w:rPr>
          <w:sz w:val="20"/>
          <w:szCs w:val="20"/>
        </w:rPr>
        <w:t xml:space="preserve"> in green).</w:t>
      </w:r>
    </w:p>
    <w:p w14:paraId="7ABC525E" w14:textId="77777777" w:rsidR="004535C0" w:rsidRDefault="004535C0"/>
    <w:sectPr w:rsidR="00453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CEB"/>
    <w:rsid w:val="004535C0"/>
    <w:rsid w:val="00523737"/>
    <w:rsid w:val="006E2CEB"/>
    <w:rsid w:val="007C41EE"/>
    <w:rsid w:val="009860CF"/>
    <w:rsid w:val="00C47803"/>
    <w:rsid w:val="00C636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E9B07CD"/>
  <w15:chartTrackingRefBased/>
  <w15:docId w15:val="{5C0DD3EE-AB07-AA4C-9A6C-B6A87CBDA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CEB"/>
    <w:pPr>
      <w:spacing w:after="0" w:line="276"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6E2CE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6E2CE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6E2CE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E2CE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6E2CE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unhideWhenUsed/>
    <w:qFormat/>
    <w:rsid w:val="006E2CE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6E2CE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6E2CE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6E2CEB"/>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CEB"/>
    <w:rPr>
      <w:rFonts w:eastAsiaTheme="majorEastAsia" w:cstheme="majorBidi"/>
      <w:color w:val="272727" w:themeColor="text1" w:themeTint="D8"/>
    </w:rPr>
  </w:style>
  <w:style w:type="paragraph" w:styleId="Title">
    <w:name w:val="Title"/>
    <w:basedOn w:val="Normal"/>
    <w:next w:val="Normal"/>
    <w:link w:val="TitleChar"/>
    <w:uiPriority w:val="10"/>
    <w:qFormat/>
    <w:rsid w:val="006E2CEB"/>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E2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CE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E2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CEB"/>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6E2CEB"/>
    <w:rPr>
      <w:i/>
      <w:iCs/>
      <w:color w:val="404040" w:themeColor="text1" w:themeTint="BF"/>
    </w:rPr>
  </w:style>
  <w:style w:type="paragraph" w:styleId="ListParagraph">
    <w:name w:val="List Paragraph"/>
    <w:basedOn w:val="Normal"/>
    <w:uiPriority w:val="34"/>
    <w:qFormat/>
    <w:rsid w:val="006E2CEB"/>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6E2CEB"/>
    <w:rPr>
      <w:i/>
      <w:iCs/>
      <w:color w:val="0F4761" w:themeColor="accent1" w:themeShade="BF"/>
    </w:rPr>
  </w:style>
  <w:style w:type="paragraph" w:styleId="IntenseQuote">
    <w:name w:val="Intense Quote"/>
    <w:basedOn w:val="Normal"/>
    <w:next w:val="Normal"/>
    <w:link w:val="IntenseQuoteChar"/>
    <w:uiPriority w:val="30"/>
    <w:qFormat/>
    <w:rsid w:val="006E2CE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6E2CEB"/>
    <w:rPr>
      <w:i/>
      <w:iCs/>
      <w:color w:val="0F4761" w:themeColor="accent1" w:themeShade="BF"/>
    </w:rPr>
  </w:style>
  <w:style w:type="character" w:styleId="IntenseReference">
    <w:name w:val="Intense Reference"/>
    <w:basedOn w:val="DefaultParagraphFont"/>
    <w:uiPriority w:val="32"/>
    <w:qFormat/>
    <w:rsid w:val="006E2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Nicholson</dc:creator>
  <cp:keywords/>
  <dc:description/>
  <cp:lastModifiedBy>Michael Nicholson</cp:lastModifiedBy>
  <cp:revision>1</cp:revision>
  <dcterms:created xsi:type="dcterms:W3CDTF">2025-09-30T18:10:00Z</dcterms:created>
  <dcterms:modified xsi:type="dcterms:W3CDTF">2025-09-30T18:10:00Z</dcterms:modified>
</cp:coreProperties>
</file>