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B0CA" w14:textId="6A13EB5C" w:rsidR="006C2AEF" w:rsidRDefault="006C2AEF" w:rsidP="006C2AEF">
      <w:pPr>
        <w:pStyle w:val="Heading6"/>
        <w:spacing w:before="60" w:line="240" w:lineRule="auto"/>
        <w:jc w:val="both"/>
        <w:rPr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193913DF" wp14:editId="463411C5">
            <wp:extent cx="5731510" cy="5403850"/>
            <wp:effectExtent l="0" t="0" r="0" b="6350"/>
            <wp:docPr id="1538661533" name="Picture 1" descr="A collage of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1533" name="Picture 1" descr="A collage of graph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>Supplementary Figure 14.</w:t>
      </w:r>
      <w:r>
        <w:rPr>
          <w:color w:val="000000"/>
        </w:rPr>
        <w:t xml:space="preserve"> Signature correction in hypermutant CRCs. </w:t>
      </w:r>
    </w:p>
    <w:p w14:paraId="3A4F18AA" w14:textId="77777777" w:rsidR="006C2AEF" w:rsidRDefault="006C2AEF" w:rsidP="006C2AEF">
      <w:pPr>
        <w:jc w:val="both"/>
        <w:rPr>
          <w:sz w:val="20"/>
          <w:szCs w:val="20"/>
        </w:rPr>
      </w:pPr>
      <w:r>
        <w:rPr>
          <w:sz w:val="20"/>
          <w:szCs w:val="20"/>
        </w:rPr>
        <w:t>The relative progression probabilities by total number of 20AARs retained in MSI (a) and POLE-mutant CRCs (b) in the 100kGP cohort, with bootstrapped 95% confidence intervals. (c) The relative progression probabilities by total number of 20AARs retained in POLE-mutant, MSI and MSS CRCs 100kGP cohort, display overall agreement, which can be quantified by no significant differences in the progression-weighted mean number of 20AARs (Δ</w:t>
      </w:r>
      <w:r>
        <w:rPr>
          <w:sz w:val="20"/>
          <w:szCs w:val="20"/>
          <w:vertAlign w:val="subscript"/>
        </w:rPr>
        <w:t>MSS-POLE</w:t>
      </w:r>
      <w:r>
        <w:rPr>
          <w:sz w:val="20"/>
          <w:szCs w:val="20"/>
        </w:rPr>
        <w:t>=-0.22, 95% CI=[-0.62, 0.15], Δ</w:t>
      </w:r>
      <w:r>
        <w:rPr>
          <w:sz w:val="20"/>
          <w:szCs w:val="20"/>
          <w:vertAlign w:val="subscript"/>
        </w:rPr>
        <w:t>MSS-MSI</w:t>
      </w:r>
      <w:r>
        <w:rPr>
          <w:sz w:val="20"/>
          <w:szCs w:val="20"/>
        </w:rPr>
        <w:t>=-0.29, 95% CI=[-0.67, 0.08], bootstrapping). (d) As in (c) but without correcting for hypermutant mutational signatures. We calculate larger differences in the progression-weighted mean number of 20AARs, that are statistically significant in the case of MSI tumours (Δ</w:t>
      </w:r>
      <w:r>
        <w:rPr>
          <w:sz w:val="20"/>
          <w:szCs w:val="20"/>
          <w:vertAlign w:val="subscript"/>
        </w:rPr>
        <w:t>MSS-</w:t>
      </w:r>
      <w:proofErr w:type="spellStart"/>
      <w:proofErr w:type="gramStart"/>
      <w:r>
        <w:rPr>
          <w:sz w:val="20"/>
          <w:szCs w:val="20"/>
          <w:vertAlign w:val="subscript"/>
        </w:rPr>
        <w:t>POLE,nc</w:t>
      </w:r>
      <w:proofErr w:type="spellEnd"/>
      <w:proofErr w:type="gramEnd"/>
      <w:r>
        <w:rPr>
          <w:sz w:val="20"/>
          <w:szCs w:val="20"/>
        </w:rPr>
        <w:t>=-0.31, 95% CI</w:t>
      </w:r>
      <w:proofErr w:type="gramStart"/>
      <w:r>
        <w:rPr>
          <w:sz w:val="20"/>
          <w:szCs w:val="20"/>
        </w:rPr>
        <w:t>=[</w:t>
      </w:r>
      <w:proofErr w:type="gramEnd"/>
      <w:r>
        <w:rPr>
          <w:sz w:val="20"/>
          <w:szCs w:val="20"/>
        </w:rPr>
        <w:t>-0.78, 0.2], Δ</w:t>
      </w:r>
      <w:r>
        <w:rPr>
          <w:sz w:val="20"/>
          <w:szCs w:val="20"/>
          <w:vertAlign w:val="subscript"/>
        </w:rPr>
        <w:t>MSS-</w:t>
      </w:r>
      <w:proofErr w:type="spellStart"/>
      <w:proofErr w:type="gramStart"/>
      <w:r>
        <w:rPr>
          <w:sz w:val="20"/>
          <w:szCs w:val="20"/>
          <w:vertAlign w:val="subscript"/>
        </w:rPr>
        <w:t>MSI,nc</w:t>
      </w:r>
      <w:proofErr w:type="spellEnd"/>
      <w:proofErr w:type="gramEnd"/>
      <w:r>
        <w:rPr>
          <w:sz w:val="20"/>
          <w:szCs w:val="20"/>
        </w:rPr>
        <w:t>=-1.87, 95% CI</w:t>
      </w:r>
      <w:proofErr w:type="gramStart"/>
      <w:r>
        <w:rPr>
          <w:sz w:val="20"/>
          <w:szCs w:val="20"/>
        </w:rPr>
        <w:t>=[</w:t>
      </w:r>
      <w:proofErr w:type="gramEnd"/>
      <w:r>
        <w:rPr>
          <w:sz w:val="20"/>
          <w:szCs w:val="20"/>
        </w:rPr>
        <w:t>-2.51, -0.81]). We highlight that the relative progression probability is larger for 5-6 total retained 20AARs for the MSI cohort without correction, due to an indel associated mutation bias to region R3.</w:t>
      </w:r>
    </w:p>
    <w:p w14:paraId="49F1AC92" w14:textId="77777777" w:rsidR="004535C0" w:rsidRDefault="004535C0"/>
    <w:sectPr w:rsidR="00453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EF"/>
    <w:rsid w:val="004535C0"/>
    <w:rsid w:val="00523737"/>
    <w:rsid w:val="006C2AEF"/>
    <w:rsid w:val="007C41EE"/>
    <w:rsid w:val="009860CF"/>
    <w:rsid w:val="00C47803"/>
    <w:rsid w:val="00C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DE3E6"/>
  <w15:chartTrackingRefBased/>
  <w15:docId w15:val="{A558C0EB-9CBE-694C-BF3E-F6F40F5A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AE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A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A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A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A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A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2A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A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A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A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A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A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2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A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2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Nicholson</dc:creator>
  <cp:keywords/>
  <dc:description/>
  <cp:lastModifiedBy>Michael Nicholson</cp:lastModifiedBy>
  <cp:revision>1</cp:revision>
  <dcterms:created xsi:type="dcterms:W3CDTF">2025-09-30T18:11:00Z</dcterms:created>
  <dcterms:modified xsi:type="dcterms:W3CDTF">2025-09-30T18:11:00Z</dcterms:modified>
</cp:coreProperties>
</file>