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3F7F" w14:textId="4D358879" w:rsidR="00FF4422" w:rsidRPr="00FF4422" w:rsidRDefault="00FF4422" w:rsidP="00FF4422">
      <w:pPr>
        <w:pStyle w:val="Heading6"/>
        <w:jc w:val="both"/>
        <w:rPr>
          <w:b/>
          <w:i w:val="0"/>
          <w:iCs w:val="0"/>
          <w:color w:val="000000"/>
        </w:rPr>
      </w:pPr>
      <w:r>
        <w:rPr>
          <w:b/>
          <w:i w:val="0"/>
          <w:iCs w:val="0"/>
          <w:noProof/>
          <w:color w:val="000000"/>
        </w:rPr>
        <w:drawing>
          <wp:inline distT="0" distB="0" distL="0" distR="0" wp14:anchorId="05391525" wp14:editId="0891F52B">
            <wp:extent cx="5731510" cy="3254375"/>
            <wp:effectExtent l="0" t="0" r="0" b="0"/>
            <wp:docPr id="1804402329" name="Picture 1" descr="A diagram of a product of observed marginaliz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2329" name="Picture 1" descr="A diagram of a product of observed marginalize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Supplementary Figure 1.</w:t>
      </w:r>
      <w:r>
        <w:rPr>
          <w:color w:val="000000"/>
        </w:rPr>
        <w:t xml:space="preserve"> Interdependence between the first and second hit of APC.</w:t>
      </w:r>
    </w:p>
    <w:p w14:paraId="2655B17F" w14:textId="77777777" w:rsidR="00FF4422" w:rsidRDefault="00FF4422" w:rsidP="00FF442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observed distribution of biallelic genotypes in CRCs in 100kGP (n=1,037), against the product of the marginal observed distributions of monoallelic mutations, </w:t>
      </w:r>
      <w:proofErr w:type="gramStart"/>
      <w:r>
        <w:rPr>
          <w:sz w:val="20"/>
          <w:szCs w:val="20"/>
        </w:rPr>
        <w:t>evidences</w:t>
      </w:r>
      <w:proofErr w:type="gramEnd"/>
      <w:r>
        <w:rPr>
          <w:sz w:val="20"/>
          <w:szCs w:val="20"/>
        </w:rPr>
        <w:t xml:space="preserve"> interdependence between the two mutations (chi=528.31, P&lt; 0.0001). Different </w:t>
      </w:r>
      <w:proofErr w:type="spellStart"/>
      <w:r>
        <w:rPr>
          <w:sz w:val="20"/>
          <w:szCs w:val="20"/>
        </w:rPr>
        <w:t>colors</w:t>
      </w:r>
      <w:proofErr w:type="spellEnd"/>
      <w:r>
        <w:rPr>
          <w:sz w:val="20"/>
          <w:szCs w:val="20"/>
        </w:rPr>
        <w:t xml:space="preserve"> refer to different biallelic genotypes. Genotype </w:t>
      </w:r>
      <w:r>
        <w:rPr>
          <w:i/>
          <w:sz w:val="20"/>
          <w:szCs w:val="20"/>
        </w:rPr>
        <w:t>(</w:t>
      </w:r>
      <w:proofErr w:type="gramStart"/>
      <w:r>
        <w:rPr>
          <w:i/>
          <w:sz w:val="20"/>
          <w:szCs w:val="20"/>
        </w:rPr>
        <w:t>M,N</w:t>
      </w:r>
      <w:proofErr w:type="gramEnd"/>
      <w:r>
        <w:rPr>
          <w:i/>
          <w:sz w:val="20"/>
          <w:szCs w:val="20"/>
        </w:rPr>
        <w:t>)</w:t>
      </w:r>
      <w:r>
        <w:rPr>
          <w:sz w:val="20"/>
          <w:szCs w:val="20"/>
        </w:rPr>
        <w:t xml:space="preserve"> denotes a truncating mutation in region </w:t>
      </w:r>
      <w:r>
        <w:rPr>
          <w:i/>
          <w:sz w:val="20"/>
          <w:szCs w:val="20"/>
        </w:rPr>
        <w:t>R</w:t>
      </w:r>
      <w:r>
        <w:rPr>
          <w:i/>
          <w:sz w:val="20"/>
          <w:szCs w:val="20"/>
          <w:vertAlign w:val="subscript"/>
        </w:rPr>
        <w:t>M</w:t>
      </w:r>
      <w:r>
        <w:rPr>
          <w:sz w:val="20"/>
          <w:szCs w:val="20"/>
        </w:rPr>
        <w:t xml:space="preserve"> in one allele and a truncating mutation in region </w:t>
      </w:r>
      <w:r>
        <w:rPr>
          <w:i/>
          <w:sz w:val="20"/>
          <w:szCs w:val="20"/>
        </w:rPr>
        <w:t>R</w:t>
      </w:r>
      <w:r>
        <w:rPr>
          <w:i/>
          <w:sz w:val="20"/>
          <w:szCs w:val="20"/>
          <w:vertAlign w:val="subscript"/>
        </w:rPr>
        <w:t>N</w:t>
      </w:r>
      <w:r>
        <w:rPr>
          <w:sz w:val="20"/>
          <w:szCs w:val="20"/>
        </w:rPr>
        <w:t xml:space="preserve"> in the other allele. Regions are defined relative to the 20AAR domains, such that a single truncating mutation in region </w:t>
      </w:r>
      <w:r>
        <w:rPr>
          <w:i/>
          <w:sz w:val="20"/>
          <w:szCs w:val="20"/>
        </w:rPr>
        <w:t>R</w:t>
      </w:r>
      <w:r>
        <w:rPr>
          <w:i/>
          <w:sz w:val="20"/>
          <w:szCs w:val="20"/>
          <w:vertAlign w:val="subscript"/>
        </w:rPr>
        <w:t>i</w:t>
      </w:r>
      <w:r>
        <w:rPr>
          <w:sz w:val="20"/>
          <w:szCs w:val="20"/>
        </w:rPr>
        <w:t xml:space="preserve"> leaves </w:t>
      </w:r>
      <w:proofErr w:type="spellStart"/>
      <w:r>
        <w:rPr>
          <w:i/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intact 20AAR repeats, where </w:t>
      </w:r>
      <w:proofErr w:type="spellStart"/>
      <w:r>
        <w:rPr>
          <w:i/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can be 0,1,2 or 3. </w:t>
      </w:r>
    </w:p>
    <w:p w14:paraId="46424B80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22"/>
    <w:rsid w:val="004535C0"/>
    <w:rsid w:val="00523737"/>
    <w:rsid w:val="007C41EE"/>
    <w:rsid w:val="009860CF"/>
    <w:rsid w:val="00C47803"/>
    <w:rsid w:val="00C6366D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CDAB2"/>
  <w15:chartTrackingRefBased/>
  <w15:docId w15:val="{CE9694EA-988E-5940-BC18-93163282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2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4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F44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4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4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2025-09-30T18:02:00Z</dcterms:created>
  <dcterms:modified xsi:type="dcterms:W3CDTF">2025-09-30T18:03:00Z</dcterms:modified>
</cp:coreProperties>
</file>