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51920C" w14:textId="32D8713F" w:rsidR="005E76ED" w:rsidRDefault="005E76ED" w:rsidP="005E76ED">
      <w:pPr>
        <w:pStyle w:val="Heading6"/>
        <w:spacing w:before="60" w:line="240" w:lineRule="auto"/>
        <w:jc w:val="both"/>
        <w:rPr>
          <w:color w:val="000000"/>
        </w:rPr>
      </w:pPr>
      <w:r>
        <w:rPr>
          <w:b/>
          <w:noProof/>
          <w:color w:val="000000"/>
        </w:rPr>
        <w:drawing>
          <wp:inline distT="0" distB="0" distL="0" distR="0" wp14:anchorId="347D3FAD" wp14:editId="1404DF3C">
            <wp:extent cx="5731510" cy="3254375"/>
            <wp:effectExtent l="0" t="0" r="0" b="0"/>
            <wp:docPr id="102706755" name="Picture 1" descr="A graph with lines and number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706755" name="Picture 1" descr="A graph with lines and numbers&#10;&#10;AI-generated content may be incorrect.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54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color w:val="000000"/>
        </w:rPr>
        <w:t xml:space="preserve">Supplementary Figure 5. </w:t>
      </w:r>
      <w:r>
        <w:rPr>
          <w:color w:val="000000"/>
        </w:rPr>
        <w:t xml:space="preserve">Progression probabilities of APC genotypes in </w:t>
      </w:r>
      <w:proofErr w:type="spellStart"/>
      <w:r>
        <w:rPr>
          <w:color w:val="000000"/>
        </w:rPr>
        <w:t>cBioPortal</w:t>
      </w:r>
      <w:proofErr w:type="spellEnd"/>
      <w:r>
        <w:rPr>
          <w:color w:val="000000"/>
        </w:rPr>
        <w:t xml:space="preserve"> Cohort.</w:t>
      </w:r>
    </w:p>
    <w:p w14:paraId="455C9DC4" w14:textId="77777777" w:rsidR="005E76ED" w:rsidRDefault="005E76ED" w:rsidP="005E76ED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The relative progression probability of different </w:t>
      </w:r>
      <w:r>
        <w:rPr>
          <w:i/>
          <w:sz w:val="20"/>
          <w:szCs w:val="20"/>
        </w:rPr>
        <w:t>APC</w:t>
      </w:r>
      <w:r>
        <w:rPr>
          <w:sz w:val="20"/>
          <w:szCs w:val="20"/>
        </w:rPr>
        <w:t xml:space="preserve"> biallelic mutant genotypes, </w:t>
      </w:r>
      <m:oMath>
        <m:sSub>
          <m:sSubPr>
            <m:ctrlPr>
              <w:rPr>
                <w:rFonts w:ascii="Cambria Math" w:hAnsi="Cambria Math"/>
                <w:sz w:val="20"/>
                <w:szCs w:val="20"/>
              </w:rPr>
            </m:ctrlPr>
          </m:sSubPr>
          <m:e>
            <m:acc>
              <m:accPr>
                <m:chr m:val="̃"/>
                <m:ctrlPr>
                  <w:rPr>
                    <w:rFonts w:ascii="Cambria Math" w:hAnsi="Cambria Math"/>
                    <w:sz w:val="20"/>
                    <w:szCs w:val="20"/>
                  </w:rPr>
                </m:ctrlPr>
              </m:accPr>
              <m:e>
                <m:r>
                  <w:rPr>
                    <w:rFonts w:ascii="Cambria Math" w:hAnsi="Cambria Math"/>
                    <w:sz w:val="20"/>
                    <w:szCs w:val="20"/>
                  </w:rPr>
                  <m:t>p</m:t>
                </m:r>
              </m:e>
            </m:acc>
          </m:e>
          <m:sub>
            <m:r>
              <w:rPr>
                <w:rFonts w:ascii="Cambria Math" w:hAnsi="Cambria Math"/>
                <w:sz w:val="20"/>
                <w:szCs w:val="20"/>
              </w:rPr>
              <m:t>(M,N)</m:t>
            </m:r>
          </m:sub>
        </m:sSub>
      </m:oMath>
      <w:r>
        <w:rPr>
          <w:rFonts w:ascii="Cambria Math" w:eastAsia="Cambria Math" w:hAnsi="Cambria Math" w:cs="Cambria Math"/>
          <w:sz w:val="20"/>
          <w:szCs w:val="20"/>
        </w:rPr>
        <w:t>,</w:t>
      </w:r>
      <w:r>
        <w:rPr>
          <w:sz w:val="20"/>
          <w:szCs w:val="20"/>
        </w:rPr>
        <w:t xml:space="preserve"> is plotted against the total number of 20AARs retained across both alleles. The frequencies of genotypes were calculated from sequence data of MSS primary CRCs in the </w:t>
      </w:r>
      <w:proofErr w:type="spellStart"/>
      <w:r>
        <w:rPr>
          <w:sz w:val="20"/>
          <w:szCs w:val="20"/>
        </w:rPr>
        <w:t>cBioPortal</w:t>
      </w:r>
      <w:proofErr w:type="spellEnd"/>
      <w:r>
        <w:rPr>
          <w:sz w:val="20"/>
          <w:szCs w:val="20"/>
        </w:rPr>
        <w:t xml:space="preserve"> cohort without copy-number alterations on </w:t>
      </w:r>
      <w:r>
        <w:rPr>
          <w:i/>
          <w:sz w:val="20"/>
          <w:szCs w:val="20"/>
        </w:rPr>
        <w:t>APC</w:t>
      </w:r>
      <w:r>
        <w:rPr>
          <w:sz w:val="20"/>
          <w:szCs w:val="20"/>
        </w:rPr>
        <w:t xml:space="preserve"> (n=1,041, Methods). Whiskers for 95% confidence intervals (bootstrapping). The grey line is the weighted average of the progression probability over all genotypes which result </w:t>
      </w:r>
      <w:proofErr w:type="gramStart"/>
      <w:r>
        <w:rPr>
          <w:sz w:val="20"/>
          <w:szCs w:val="20"/>
        </w:rPr>
        <w:t>in a given</w:t>
      </w:r>
      <w:proofErr w:type="gramEnd"/>
      <w:r>
        <w:rPr>
          <w:sz w:val="20"/>
          <w:szCs w:val="20"/>
        </w:rPr>
        <w:t xml:space="preserve"> number of retained 20AARs. Genotype (</w:t>
      </w:r>
      <w:proofErr w:type="gramStart"/>
      <w:r>
        <w:rPr>
          <w:i/>
          <w:sz w:val="20"/>
          <w:szCs w:val="20"/>
        </w:rPr>
        <w:t>M,N</w:t>
      </w:r>
      <w:proofErr w:type="gramEnd"/>
      <w:r>
        <w:rPr>
          <w:sz w:val="20"/>
          <w:szCs w:val="20"/>
        </w:rPr>
        <w:t xml:space="preserve">) denotes a truncating mutation in region </w:t>
      </w:r>
      <w:r>
        <w:rPr>
          <w:i/>
          <w:sz w:val="20"/>
          <w:szCs w:val="20"/>
        </w:rPr>
        <w:t>R</w:t>
      </w:r>
      <w:r>
        <w:rPr>
          <w:i/>
          <w:sz w:val="20"/>
          <w:szCs w:val="20"/>
          <w:vertAlign w:val="subscript"/>
        </w:rPr>
        <w:t>M</w:t>
      </w:r>
      <w:r>
        <w:rPr>
          <w:sz w:val="20"/>
          <w:szCs w:val="20"/>
        </w:rPr>
        <w:t xml:space="preserve"> in one allele and a truncating mutation in region </w:t>
      </w:r>
      <w:r>
        <w:rPr>
          <w:i/>
          <w:sz w:val="20"/>
          <w:szCs w:val="20"/>
        </w:rPr>
        <w:t>R</w:t>
      </w:r>
      <w:r>
        <w:rPr>
          <w:i/>
          <w:sz w:val="20"/>
          <w:szCs w:val="20"/>
          <w:vertAlign w:val="subscript"/>
        </w:rPr>
        <w:t>N</w:t>
      </w:r>
      <w:r>
        <w:rPr>
          <w:sz w:val="20"/>
          <w:szCs w:val="20"/>
        </w:rPr>
        <w:t xml:space="preserve"> in the other allele. Regions are defined relative to the 20AAR domains, such that a single truncating mutation in region </w:t>
      </w:r>
      <w:r>
        <w:rPr>
          <w:i/>
          <w:sz w:val="20"/>
          <w:szCs w:val="20"/>
        </w:rPr>
        <w:t>R</w:t>
      </w:r>
      <w:r>
        <w:rPr>
          <w:i/>
          <w:sz w:val="20"/>
          <w:szCs w:val="20"/>
          <w:vertAlign w:val="subscript"/>
        </w:rPr>
        <w:t>i</w:t>
      </w:r>
      <w:r>
        <w:rPr>
          <w:sz w:val="20"/>
          <w:szCs w:val="20"/>
        </w:rPr>
        <w:t xml:space="preserve"> leaves </w:t>
      </w:r>
      <w:proofErr w:type="spellStart"/>
      <w:r>
        <w:rPr>
          <w:i/>
          <w:sz w:val="20"/>
          <w:szCs w:val="20"/>
        </w:rPr>
        <w:t>i</w:t>
      </w:r>
      <w:proofErr w:type="spellEnd"/>
      <w:r>
        <w:rPr>
          <w:sz w:val="20"/>
          <w:szCs w:val="20"/>
        </w:rPr>
        <w:t xml:space="preserve"> intact 20AAR repeats, where </w:t>
      </w:r>
      <w:proofErr w:type="spellStart"/>
      <w:r>
        <w:rPr>
          <w:i/>
          <w:sz w:val="20"/>
          <w:szCs w:val="20"/>
        </w:rPr>
        <w:t>i</w:t>
      </w:r>
      <w:proofErr w:type="spellEnd"/>
      <w:r>
        <w:rPr>
          <w:sz w:val="20"/>
          <w:szCs w:val="20"/>
        </w:rPr>
        <w:t xml:space="preserve"> can be 0,1,2 or 3. The total number of 20AARs is given by </w:t>
      </w:r>
      <w:r>
        <w:rPr>
          <w:i/>
          <w:sz w:val="20"/>
          <w:szCs w:val="20"/>
        </w:rPr>
        <w:t>M</w:t>
      </w:r>
      <w:r>
        <w:rPr>
          <w:sz w:val="20"/>
          <w:szCs w:val="20"/>
        </w:rPr>
        <w:t>+</w:t>
      </w:r>
      <w:r>
        <w:rPr>
          <w:i/>
          <w:sz w:val="20"/>
          <w:szCs w:val="20"/>
        </w:rPr>
        <w:t>N</w:t>
      </w:r>
      <w:r>
        <w:rPr>
          <w:sz w:val="20"/>
          <w:szCs w:val="20"/>
        </w:rPr>
        <w:t>.</w:t>
      </w:r>
    </w:p>
    <w:p w14:paraId="48EC15BA" w14:textId="77777777" w:rsidR="004535C0" w:rsidRDefault="004535C0"/>
    <w:sectPr w:rsidR="004535C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76ED"/>
    <w:rsid w:val="004535C0"/>
    <w:rsid w:val="00523737"/>
    <w:rsid w:val="005E76ED"/>
    <w:rsid w:val="007C41EE"/>
    <w:rsid w:val="009860CF"/>
    <w:rsid w:val="00C47803"/>
    <w:rsid w:val="00C636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F681224"/>
  <w15:chartTrackingRefBased/>
  <w15:docId w15:val="{FB5E6F6C-A6D3-D041-AA36-3325410BE6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E76ED"/>
    <w:pPr>
      <w:spacing w:after="0" w:line="276" w:lineRule="auto"/>
    </w:pPr>
    <w:rPr>
      <w:rFonts w:ascii="Arial" w:eastAsia="Arial" w:hAnsi="Arial" w:cs="Arial"/>
      <w:kern w:val="0"/>
      <w:sz w:val="22"/>
      <w:szCs w:val="22"/>
      <w:lang w:eastAsia="en-GB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5E76ED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eastAsia="en-US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E76ED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eastAsia="en-US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E76ED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eastAsia="en-US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E76ED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4"/>
      <w:szCs w:val="24"/>
      <w:lang w:eastAsia="en-US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E76ED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 w:val="24"/>
      <w:szCs w:val="24"/>
      <w:lang w:eastAsia="en-US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5E76ED"/>
    <w:pPr>
      <w:keepNext/>
      <w:keepLines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:lang w:eastAsia="en-US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E76ED"/>
    <w:pPr>
      <w:keepNext/>
      <w:keepLines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:lang w:eastAsia="en-US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E76ED"/>
    <w:pPr>
      <w:keepNext/>
      <w:keepLines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:lang w:eastAsia="en-US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E76ED"/>
    <w:pPr>
      <w:keepNext/>
      <w:keepLines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:lang w:eastAsia="en-US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E76E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E76E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E76E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E76E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E76E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E76E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E76E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E76E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E76E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E76E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5E76E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E76ED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eastAsia="en-US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5E76E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E76ED"/>
    <w:pPr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4"/>
      <w:szCs w:val="24"/>
      <w:lang w:eastAsia="en-US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5E76E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E76ED"/>
    <w:pPr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:sz w:val="24"/>
      <w:szCs w:val="24"/>
      <w:lang w:eastAsia="en-US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5E76E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E76E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sz w:val="24"/>
      <w:szCs w:val="24"/>
      <w:lang w:eastAsia="en-US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E76E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E76E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143</Words>
  <Characters>821</Characters>
  <Application>Microsoft Office Word</Application>
  <DocSecurity>0</DocSecurity>
  <Lines>6</Lines>
  <Paragraphs>1</Paragraphs>
  <ScaleCrop>false</ScaleCrop>
  <Company/>
  <LinksUpToDate>false</LinksUpToDate>
  <CharactersWithSpaces>963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Michael Nicholson</dc:creator>
  <cp:keywords/>
  <dc:description/>
  <cp:lastModifiedBy>Michael Nicholson</cp:lastModifiedBy>
  <cp:revision>1</cp:revision>
  <dcterms:created xsi:type="dcterms:W3CDTF">2025-09-30T18:05:00Z</dcterms:created>
  <dcterms:modified xsi:type="dcterms:W3CDTF">2025-09-30T18:06:00Z</dcterms:modified>
</cp:coreProperties>
</file>