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066108" w14:textId="613B8308" w:rsidR="00173E3F" w:rsidRDefault="00173E3F" w:rsidP="00173E3F">
      <w:pPr>
        <w:pStyle w:val="Heading6"/>
        <w:jc w:val="both"/>
        <w:rPr>
          <w:color w:val="000000"/>
        </w:rPr>
      </w:pPr>
      <w:r>
        <w:rPr>
          <w:b/>
          <w:noProof/>
          <w:color w:val="000000"/>
        </w:rPr>
        <w:drawing>
          <wp:inline distT="0" distB="0" distL="0" distR="0" wp14:anchorId="431EAD7C" wp14:editId="65A0C9FA">
            <wp:extent cx="5731510" cy="4505325"/>
            <wp:effectExtent l="0" t="0" r="0" b="3175"/>
            <wp:docPr id="1919328293" name="Picture 1" descr="A graph of different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9328293" name="Picture 1" descr="A graph of different colored lines&#10;&#10;AI-generated content may be incorrect."/>
                    <pic:cNvPicPr/>
                  </pic:nvPicPr>
                  <pic:blipFill>
                    <a:blip r:embed="rId4" cstate="print">
                      <a:extLst>
                        <a:ext uri="{28A0092B-C50C-407E-A947-70E740481C1C}">
                          <a14:useLocalDpi xmlns:a14="http://schemas.microsoft.com/office/drawing/2010/main" val="0"/>
                        </a:ext>
                      </a:extLst>
                    </a:blip>
                    <a:stretch>
                      <a:fillRect/>
                    </a:stretch>
                  </pic:blipFill>
                  <pic:spPr>
                    <a:xfrm>
                      <a:off x="0" y="0"/>
                      <a:ext cx="5731510" cy="4505325"/>
                    </a:xfrm>
                    <a:prstGeom prst="rect">
                      <a:avLst/>
                    </a:prstGeom>
                  </pic:spPr>
                </pic:pic>
              </a:graphicData>
            </a:graphic>
          </wp:inline>
        </w:drawing>
      </w:r>
      <w:r>
        <w:rPr>
          <w:b/>
          <w:color w:val="000000"/>
        </w:rPr>
        <w:t xml:space="preserve">Supplementary Figure 6. </w:t>
      </w:r>
      <w:r>
        <w:rPr>
          <w:color w:val="000000"/>
        </w:rPr>
        <w:t xml:space="preserve">The distribution of APC mutations in CRCs. </w:t>
      </w:r>
    </w:p>
    <w:p w14:paraId="28C56C97" w14:textId="77777777" w:rsidR="00173E3F" w:rsidRDefault="00173E3F" w:rsidP="00173E3F">
      <w:pPr>
        <w:jc w:val="both"/>
        <w:rPr>
          <w:sz w:val="20"/>
          <w:szCs w:val="20"/>
          <w:highlight w:val="white"/>
        </w:rPr>
      </w:pPr>
      <w:r>
        <w:rPr>
          <w:sz w:val="20"/>
          <w:szCs w:val="20"/>
          <w:highlight w:val="white"/>
        </w:rPr>
        <w:t xml:space="preserve">(a) The cumulative distribution of truncating (stop gained and frameshift) mutations in </w:t>
      </w:r>
      <w:r>
        <w:rPr>
          <w:i/>
          <w:sz w:val="20"/>
          <w:szCs w:val="20"/>
          <w:highlight w:val="white"/>
        </w:rPr>
        <w:t>APC</w:t>
      </w:r>
      <w:r>
        <w:rPr>
          <w:sz w:val="20"/>
          <w:szCs w:val="20"/>
          <w:highlight w:val="white"/>
        </w:rPr>
        <w:t xml:space="preserve">, as observed in MSS CRC cohorts (cyan for 100kGP n=1,037, green for </w:t>
      </w:r>
      <w:proofErr w:type="spellStart"/>
      <w:r>
        <w:rPr>
          <w:sz w:val="20"/>
          <w:szCs w:val="20"/>
          <w:highlight w:val="white"/>
        </w:rPr>
        <w:t>cBioPortal</w:t>
      </w:r>
      <w:proofErr w:type="spellEnd"/>
      <w:r>
        <w:rPr>
          <w:sz w:val="20"/>
          <w:szCs w:val="20"/>
          <w:highlight w:val="white"/>
        </w:rPr>
        <w:t xml:space="preserve"> n=1,041 and dark blue for </w:t>
      </w:r>
      <w:hyperlink r:id="rId5">
        <w:r>
          <w:rPr>
            <w:color w:val="000000"/>
            <w:sz w:val="20"/>
            <w:szCs w:val="20"/>
            <w:highlight w:val="white"/>
          </w:rPr>
          <w:t>[3]</w:t>
        </w:r>
      </w:hyperlink>
      <w:r>
        <w:rPr>
          <w:sz w:val="20"/>
          <w:szCs w:val="20"/>
          <w:highlight w:val="white"/>
        </w:rPr>
        <w:t xml:space="preserve"> n=630), predicted by the model with selection on the total 20AARs (red) and the null ‘Uniform risk’ model (grey). The null is calculated by simulating mutations occurring on </w:t>
      </w:r>
      <w:r>
        <w:rPr>
          <w:i/>
          <w:sz w:val="20"/>
          <w:szCs w:val="20"/>
          <w:highlight w:val="white"/>
        </w:rPr>
        <w:t>APC</w:t>
      </w:r>
      <w:r>
        <w:rPr>
          <w:sz w:val="20"/>
          <w:szCs w:val="20"/>
          <w:highlight w:val="white"/>
        </w:rPr>
        <w:t xml:space="preserve"> according to the probability distribution calculated using the mutational processes active in the healthy colon. The predicted is calculated by multiplying the null by the progression probability of the number of retained 20AARs.</w:t>
      </w:r>
      <w:r>
        <w:rPr>
          <w:b/>
          <w:sz w:val="20"/>
          <w:szCs w:val="20"/>
          <w:highlight w:val="white"/>
        </w:rPr>
        <w:t xml:space="preserve"> </w:t>
      </w:r>
      <w:r>
        <w:rPr>
          <w:sz w:val="20"/>
          <w:szCs w:val="20"/>
          <w:highlight w:val="white"/>
        </w:rPr>
        <w:t>(b)</w:t>
      </w:r>
      <w:r>
        <w:rPr>
          <w:b/>
          <w:sz w:val="20"/>
          <w:szCs w:val="20"/>
          <w:highlight w:val="white"/>
        </w:rPr>
        <w:t xml:space="preserve"> </w:t>
      </w:r>
      <w:r>
        <w:rPr>
          <w:sz w:val="20"/>
          <w:szCs w:val="20"/>
          <w:highlight w:val="white"/>
        </w:rPr>
        <w:t xml:space="preserve">The cumulative distribution of truncating (stop gained and frameshift) mutations in </w:t>
      </w:r>
      <w:r>
        <w:rPr>
          <w:i/>
          <w:sz w:val="20"/>
          <w:szCs w:val="20"/>
          <w:highlight w:val="white"/>
        </w:rPr>
        <w:t>APC</w:t>
      </w:r>
      <w:r>
        <w:rPr>
          <w:sz w:val="20"/>
          <w:szCs w:val="20"/>
          <w:highlight w:val="white"/>
        </w:rPr>
        <w:t xml:space="preserve"> observed in MSS CRCs in 100kGP and predicted by our model, with vertical lines indicating the mutational hotspots reported by Christie</w:t>
      </w:r>
      <w:r>
        <w:rPr>
          <w:i/>
          <w:sz w:val="20"/>
          <w:szCs w:val="20"/>
          <w:highlight w:val="white"/>
        </w:rPr>
        <w:t xml:space="preserve"> et al </w:t>
      </w:r>
      <w:hyperlink r:id="rId6">
        <w:r>
          <w:rPr>
            <w:i/>
            <w:color w:val="000000"/>
            <w:sz w:val="20"/>
            <w:szCs w:val="20"/>
            <w:highlight w:val="white"/>
          </w:rPr>
          <w:t>[2]</w:t>
        </w:r>
      </w:hyperlink>
      <w:r>
        <w:rPr>
          <w:sz w:val="20"/>
          <w:szCs w:val="20"/>
          <w:highlight w:val="white"/>
        </w:rPr>
        <w:t>, showing that our predictions and data recover the positions of mutational hotspots (corresponding to jumps in the cumulative distribution). (c-d)</w:t>
      </w:r>
      <w:r>
        <w:rPr>
          <w:b/>
          <w:sz w:val="20"/>
          <w:szCs w:val="20"/>
          <w:highlight w:val="white"/>
        </w:rPr>
        <w:t xml:space="preserve"> </w:t>
      </w:r>
      <w:r>
        <w:rPr>
          <w:sz w:val="20"/>
          <w:szCs w:val="20"/>
          <w:highlight w:val="white"/>
        </w:rPr>
        <w:t xml:space="preserve">The density of frameshift and stop gained mutations of </w:t>
      </w:r>
      <w:r>
        <w:rPr>
          <w:i/>
          <w:sz w:val="20"/>
          <w:szCs w:val="20"/>
          <w:highlight w:val="white"/>
        </w:rPr>
        <w:t>APC</w:t>
      </w:r>
      <w:r>
        <w:rPr>
          <w:sz w:val="20"/>
          <w:szCs w:val="20"/>
          <w:highlight w:val="white"/>
        </w:rPr>
        <w:t xml:space="preserve">, as observed in CRC cohorts and predicted by our model, calculated as the rolling average from the cumulative distribution (window size 100 nucleotides). For frameshift mutations, the prediction and the distribution in 100kGP are in close agreement, and both differ from the distribution reported by Christie </w:t>
      </w:r>
      <w:r>
        <w:rPr>
          <w:i/>
          <w:sz w:val="20"/>
          <w:szCs w:val="20"/>
          <w:highlight w:val="white"/>
        </w:rPr>
        <w:t>et al</w:t>
      </w:r>
      <w:r>
        <w:rPr>
          <w:sz w:val="20"/>
          <w:szCs w:val="20"/>
          <w:highlight w:val="white"/>
        </w:rPr>
        <w:t xml:space="preserve">, likely due to advances in the resolution of indel calling. Most discrepancies are within the distribution of stop-gain mutations upstream of the first 20AAR. A clear difference is the absence of stop-gain mutations in the data upstream codon 200, likely due to translation re-initiation at a downstream AUG (e.g. in codons 183, 199 or 209), preventing stop-gain mutations in the N terminus driving cancer </w:t>
      </w:r>
      <w:hyperlink r:id="rId7">
        <w:r>
          <w:rPr>
            <w:color w:val="000000"/>
            <w:sz w:val="20"/>
            <w:szCs w:val="20"/>
            <w:highlight w:val="white"/>
          </w:rPr>
          <w:t>[4]</w:t>
        </w:r>
      </w:hyperlink>
      <w:r>
        <w:rPr>
          <w:sz w:val="20"/>
          <w:szCs w:val="20"/>
          <w:highlight w:val="white"/>
        </w:rPr>
        <w:t>. The predicted distribution also underestimates the number of stop-gain mutations in positions 216 and 876 (CGA&gt;TGA) that could be driven by methylation, which is not accounted for in our model.</w:t>
      </w:r>
    </w:p>
    <w:p w14:paraId="395EDC46" w14:textId="77777777" w:rsidR="004535C0" w:rsidRDefault="004535C0"/>
    <w:sectPr w:rsidR="004535C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3E3F"/>
    <w:rsid w:val="00173E3F"/>
    <w:rsid w:val="004535C0"/>
    <w:rsid w:val="00523737"/>
    <w:rsid w:val="007C41EE"/>
    <w:rsid w:val="009860CF"/>
    <w:rsid w:val="00C47803"/>
    <w:rsid w:val="00C6366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77B40821"/>
  <w15:chartTrackingRefBased/>
  <w15:docId w15:val="{E9DB1F05-6D7B-074F-95E5-1E138F9000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73E3F"/>
    <w:pPr>
      <w:spacing w:after="0" w:line="276" w:lineRule="auto"/>
    </w:pPr>
    <w:rPr>
      <w:rFonts w:ascii="Arial" w:eastAsia="Arial" w:hAnsi="Arial" w:cs="Arial"/>
      <w:kern w:val="0"/>
      <w:sz w:val="22"/>
      <w:szCs w:val="22"/>
      <w:lang w:eastAsia="en-GB"/>
      <w14:ligatures w14:val="none"/>
    </w:rPr>
  </w:style>
  <w:style w:type="paragraph" w:styleId="Heading1">
    <w:name w:val="heading 1"/>
    <w:basedOn w:val="Normal"/>
    <w:next w:val="Normal"/>
    <w:link w:val="Heading1Char"/>
    <w:uiPriority w:val="9"/>
    <w:qFormat/>
    <w:rsid w:val="00173E3F"/>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lang w:eastAsia="en-US"/>
      <w14:ligatures w14:val="standardContextual"/>
    </w:rPr>
  </w:style>
  <w:style w:type="paragraph" w:styleId="Heading2">
    <w:name w:val="heading 2"/>
    <w:basedOn w:val="Normal"/>
    <w:next w:val="Normal"/>
    <w:link w:val="Heading2Char"/>
    <w:uiPriority w:val="9"/>
    <w:semiHidden/>
    <w:unhideWhenUsed/>
    <w:qFormat/>
    <w:rsid w:val="00173E3F"/>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lang w:eastAsia="en-US"/>
      <w14:ligatures w14:val="standardContextual"/>
    </w:rPr>
  </w:style>
  <w:style w:type="paragraph" w:styleId="Heading3">
    <w:name w:val="heading 3"/>
    <w:basedOn w:val="Normal"/>
    <w:next w:val="Normal"/>
    <w:link w:val="Heading3Char"/>
    <w:uiPriority w:val="9"/>
    <w:semiHidden/>
    <w:unhideWhenUsed/>
    <w:qFormat/>
    <w:rsid w:val="00173E3F"/>
    <w:pPr>
      <w:keepNext/>
      <w:keepLines/>
      <w:spacing w:before="160" w:after="80" w:line="278" w:lineRule="auto"/>
      <w:outlineLvl w:val="2"/>
    </w:pPr>
    <w:rPr>
      <w:rFonts w:asciiTheme="minorHAnsi" w:eastAsiaTheme="majorEastAsia" w:hAnsiTheme="minorHAnsi" w:cstheme="majorBidi"/>
      <w:color w:val="0F4761" w:themeColor="accent1" w:themeShade="BF"/>
      <w:kern w:val="2"/>
      <w:sz w:val="28"/>
      <w:szCs w:val="28"/>
      <w:lang w:eastAsia="en-US"/>
      <w14:ligatures w14:val="standardContextual"/>
    </w:rPr>
  </w:style>
  <w:style w:type="paragraph" w:styleId="Heading4">
    <w:name w:val="heading 4"/>
    <w:basedOn w:val="Normal"/>
    <w:next w:val="Normal"/>
    <w:link w:val="Heading4Char"/>
    <w:uiPriority w:val="9"/>
    <w:semiHidden/>
    <w:unhideWhenUsed/>
    <w:qFormat/>
    <w:rsid w:val="00173E3F"/>
    <w:pPr>
      <w:keepNext/>
      <w:keepLines/>
      <w:spacing w:before="80" w:after="40" w:line="278" w:lineRule="auto"/>
      <w:outlineLvl w:val="3"/>
    </w:pPr>
    <w:rPr>
      <w:rFonts w:asciiTheme="minorHAnsi" w:eastAsiaTheme="majorEastAsia" w:hAnsiTheme="minorHAnsi" w:cstheme="majorBidi"/>
      <w:i/>
      <w:iCs/>
      <w:color w:val="0F4761" w:themeColor="accent1" w:themeShade="BF"/>
      <w:kern w:val="2"/>
      <w:sz w:val="24"/>
      <w:szCs w:val="24"/>
      <w:lang w:eastAsia="en-US"/>
      <w14:ligatures w14:val="standardContextual"/>
    </w:rPr>
  </w:style>
  <w:style w:type="paragraph" w:styleId="Heading5">
    <w:name w:val="heading 5"/>
    <w:basedOn w:val="Normal"/>
    <w:next w:val="Normal"/>
    <w:link w:val="Heading5Char"/>
    <w:uiPriority w:val="9"/>
    <w:semiHidden/>
    <w:unhideWhenUsed/>
    <w:qFormat/>
    <w:rsid w:val="00173E3F"/>
    <w:pPr>
      <w:keepNext/>
      <w:keepLines/>
      <w:spacing w:before="80" w:after="40" w:line="278" w:lineRule="auto"/>
      <w:outlineLvl w:val="4"/>
    </w:pPr>
    <w:rPr>
      <w:rFonts w:asciiTheme="minorHAnsi" w:eastAsiaTheme="majorEastAsia" w:hAnsiTheme="minorHAnsi" w:cstheme="majorBidi"/>
      <w:color w:val="0F4761" w:themeColor="accent1" w:themeShade="BF"/>
      <w:kern w:val="2"/>
      <w:sz w:val="24"/>
      <w:szCs w:val="24"/>
      <w:lang w:eastAsia="en-US"/>
      <w14:ligatures w14:val="standardContextual"/>
    </w:rPr>
  </w:style>
  <w:style w:type="paragraph" w:styleId="Heading6">
    <w:name w:val="heading 6"/>
    <w:basedOn w:val="Normal"/>
    <w:next w:val="Normal"/>
    <w:link w:val="Heading6Char"/>
    <w:uiPriority w:val="9"/>
    <w:unhideWhenUsed/>
    <w:qFormat/>
    <w:rsid w:val="00173E3F"/>
    <w:pPr>
      <w:keepNext/>
      <w:keepLines/>
      <w:spacing w:before="40" w:line="278" w:lineRule="auto"/>
      <w:outlineLvl w:val="5"/>
    </w:pPr>
    <w:rPr>
      <w:rFonts w:asciiTheme="minorHAnsi" w:eastAsiaTheme="majorEastAsia" w:hAnsiTheme="minorHAnsi" w:cstheme="majorBidi"/>
      <w:i/>
      <w:iCs/>
      <w:color w:val="595959" w:themeColor="text1" w:themeTint="A6"/>
      <w:kern w:val="2"/>
      <w:sz w:val="24"/>
      <w:szCs w:val="24"/>
      <w:lang w:eastAsia="en-US"/>
      <w14:ligatures w14:val="standardContextual"/>
    </w:rPr>
  </w:style>
  <w:style w:type="paragraph" w:styleId="Heading7">
    <w:name w:val="heading 7"/>
    <w:basedOn w:val="Normal"/>
    <w:next w:val="Normal"/>
    <w:link w:val="Heading7Char"/>
    <w:uiPriority w:val="9"/>
    <w:semiHidden/>
    <w:unhideWhenUsed/>
    <w:qFormat/>
    <w:rsid w:val="00173E3F"/>
    <w:pPr>
      <w:keepNext/>
      <w:keepLines/>
      <w:spacing w:before="40" w:line="278" w:lineRule="auto"/>
      <w:outlineLvl w:val="6"/>
    </w:pPr>
    <w:rPr>
      <w:rFonts w:asciiTheme="minorHAnsi" w:eastAsiaTheme="majorEastAsia" w:hAnsiTheme="minorHAnsi" w:cstheme="majorBidi"/>
      <w:color w:val="595959" w:themeColor="text1" w:themeTint="A6"/>
      <w:kern w:val="2"/>
      <w:sz w:val="24"/>
      <w:szCs w:val="24"/>
      <w:lang w:eastAsia="en-US"/>
      <w14:ligatures w14:val="standardContextual"/>
    </w:rPr>
  </w:style>
  <w:style w:type="paragraph" w:styleId="Heading8">
    <w:name w:val="heading 8"/>
    <w:basedOn w:val="Normal"/>
    <w:next w:val="Normal"/>
    <w:link w:val="Heading8Char"/>
    <w:uiPriority w:val="9"/>
    <w:semiHidden/>
    <w:unhideWhenUsed/>
    <w:qFormat/>
    <w:rsid w:val="00173E3F"/>
    <w:pPr>
      <w:keepNext/>
      <w:keepLines/>
      <w:spacing w:line="278" w:lineRule="auto"/>
      <w:outlineLvl w:val="7"/>
    </w:pPr>
    <w:rPr>
      <w:rFonts w:asciiTheme="minorHAnsi" w:eastAsiaTheme="majorEastAsia" w:hAnsiTheme="minorHAnsi" w:cstheme="majorBidi"/>
      <w:i/>
      <w:iCs/>
      <w:color w:val="272727" w:themeColor="text1" w:themeTint="D8"/>
      <w:kern w:val="2"/>
      <w:sz w:val="24"/>
      <w:szCs w:val="24"/>
      <w:lang w:eastAsia="en-US"/>
      <w14:ligatures w14:val="standardContextual"/>
    </w:rPr>
  </w:style>
  <w:style w:type="paragraph" w:styleId="Heading9">
    <w:name w:val="heading 9"/>
    <w:basedOn w:val="Normal"/>
    <w:next w:val="Normal"/>
    <w:link w:val="Heading9Char"/>
    <w:uiPriority w:val="9"/>
    <w:semiHidden/>
    <w:unhideWhenUsed/>
    <w:qFormat/>
    <w:rsid w:val="00173E3F"/>
    <w:pPr>
      <w:keepNext/>
      <w:keepLines/>
      <w:spacing w:line="278" w:lineRule="auto"/>
      <w:outlineLvl w:val="8"/>
    </w:pPr>
    <w:rPr>
      <w:rFonts w:asciiTheme="minorHAnsi" w:eastAsiaTheme="majorEastAsia" w:hAnsiTheme="minorHAnsi" w:cstheme="majorBidi"/>
      <w:color w:val="272727" w:themeColor="text1" w:themeTint="D8"/>
      <w:kern w:val="2"/>
      <w:sz w:val="24"/>
      <w:szCs w:val="24"/>
      <w:lang w:eastAsia="en-US"/>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73E3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73E3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73E3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73E3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73E3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73E3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73E3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73E3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73E3F"/>
    <w:rPr>
      <w:rFonts w:eastAsiaTheme="majorEastAsia" w:cstheme="majorBidi"/>
      <w:color w:val="272727" w:themeColor="text1" w:themeTint="D8"/>
    </w:rPr>
  </w:style>
  <w:style w:type="paragraph" w:styleId="Title">
    <w:name w:val="Title"/>
    <w:basedOn w:val="Normal"/>
    <w:next w:val="Normal"/>
    <w:link w:val="TitleChar"/>
    <w:uiPriority w:val="10"/>
    <w:qFormat/>
    <w:rsid w:val="00173E3F"/>
    <w:pPr>
      <w:spacing w:after="80" w:line="240" w:lineRule="auto"/>
      <w:contextualSpacing/>
    </w:pPr>
    <w:rPr>
      <w:rFonts w:asciiTheme="majorHAnsi" w:eastAsiaTheme="majorEastAsia" w:hAnsiTheme="majorHAnsi" w:cstheme="majorBidi"/>
      <w:spacing w:val="-10"/>
      <w:kern w:val="28"/>
      <w:sz w:val="56"/>
      <w:szCs w:val="56"/>
      <w:lang w:eastAsia="en-US"/>
      <w14:ligatures w14:val="standardContextual"/>
    </w:rPr>
  </w:style>
  <w:style w:type="character" w:customStyle="1" w:styleId="TitleChar">
    <w:name w:val="Title Char"/>
    <w:basedOn w:val="DefaultParagraphFont"/>
    <w:link w:val="Title"/>
    <w:uiPriority w:val="10"/>
    <w:rsid w:val="00173E3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73E3F"/>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lang w:eastAsia="en-US"/>
      <w14:ligatures w14:val="standardContextual"/>
    </w:rPr>
  </w:style>
  <w:style w:type="character" w:customStyle="1" w:styleId="SubtitleChar">
    <w:name w:val="Subtitle Char"/>
    <w:basedOn w:val="DefaultParagraphFont"/>
    <w:link w:val="Subtitle"/>
    <w:uiPriority w:val="11"/>
    <w:rsid w:val="00173E3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73E3F"/>
    <w:pPr>
      <w:spacing w:before="160" w:after="160" w:line="278" w:lineRule="auto"/>
      <w:jc w:val="center"/>
    </w:pPr>
    <w:rPr>
      <w:rFonts w:asciiTheme="minorHAnsi" w:eastAsiaTheme="minorHAnsi" w:hAnsiTheme="minorHAnsi" w:cstheme="minorBidi"/>
      <w:i/>
      <w:iCs/>
      <w:color w:val="404040" w:themeColor="text1" w:themeTint="BF"/>
      <w:kern w:val="2"/>
      <w:sz w:val="24"/>
      <w:szCs w:val="24"/>
      <w:lang w:eastAsia="en-US"/>
      <w14:ligatures w14:val="standardContextual"/>
    </w:rPr>
  </w:style>
  <w:style w:type="character" w:customStyle="1" w:styleId="QuoteChar">
    <w:name w:val="Quote Char"/>
    <w:basedOn w:val="DefaultParagraphFont"/>
    <w:link w:val="Quote"/>
    <w:uiPriority w:val="29"/>
    <w:rsid w:val="00173E3F"/>
    <w:rPr>
      <w:i/>
      <w:iCs/>
      <w:color w:val="404040" w:themeColor="text1" w:themeTint="BF"/>
    </w:rPr>
  </w:style>
  <w:style w:type="paragraph" w:styleId="ListParagraph">
    <w:name w:val="List Paragraph"/>
    <w:basedOn w:val="Normal"/>
    <w:uiPriority w:val="34"/>
    <w:qFormat/>
    <w:rsid w:val="00173E3F"/>
    <w:pPr>
      <w:spacing w:after="160" w:line="278" w:lineRule="auto"/>
      <w:ind w:left="720"/>
      <w:contextualSpacing/>
    </w:pPr>
    <w:rPr>
      <w:rFonts w:asciiTheme="minorHAnsi" w:eastAsiaTheme="minorHAnsi" w:hAnsiTheme="minorHAnsi" w:cstheme="minorBidi"/>
      <w:kern w:val="2"/>
      <w:sz w:val="24"/>
      <w:szCs w:val="24"/>
      <w:lang w:eastAsia="en-US"/>
      <w14:ligatures w14:val="standardContextual"/>
    </w:rPr>
  </w:style>
  <w:style w:type="character" w:styleId="IntenseEmphasis">
    <w:name w:val="Intense Emphasis"/>
    <w:basedOn w:val="DefaultParagraphFont"/>
    <w:uiPriority w:val="21"/>
    <w:qFormat/>
    <w:rsid w:val="00173E3F"/>
    <w:rPr>
      <w:i/>
      <w:iCs/>
      <w:color w:val="0F4761" w:themeColor="accent1" w:themeShade="BF"/>
    </w:rPr>
  </w:style>
  <w:style w:type="paragraph" w:styleId="IntenseQuote">
    <w:name w:val="Intense Quote"/>
    <w:basedOn w:val="Normal"/>
    <w:next w:val="Normal"/>
    <w:link w:val="IntenseQuoteChar"/>
    <w:uiPriority w:val="30"/>
    <w:qFormat/>
    <w:rsid w:val="00173E3F"/>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HAnsi" w:hAnsiTheme="minorHAnsi" w:cstheme="minorBidi"/>
      <w:i/>
      <w:iCs/>
      <w:color w:val="0F4761" w:themeColor="accent1" w:themeShade="BF"/>
      <w:kern w:val="2"/>
      <w:sz w:val="24"/>
      <w:szCs w:val="24"/>
      <w:lang w:eastAsia="en-US"/>
      <w14:ligatures w14:val="standardContextual"/>
    </w:rPr>
  </w:style>
  <w:style w:type="character" w:customStyle="1" w:styleId="IntenseQuoteChar">
    <w:name w:val="Intense Quote Char"/>
    <w:basedOn w:val="DefaultParagraphFont"/>
    <w:link w:val="IntenseQuote"/>
    <w:uiPriority w:val="30"/>
    <w:rsid w:val="00173E3F"/>
    <w:rPr>
      <w:i/>
      <w:iCs/>
      <w:color w:val="0F4761" w:themeColor="accent1" w:themeShade="BF"/>
    </w:rPr>
  </w:style>
  <w:style w:type="character" w:styleId="IntenseReference">
    <w:name w:val="Intense Reference"/>
    <w:basedOn w:val="DefaultParagraphFont"/>
    <w:uiPriority w:val="32"/>
    <w:qFormat/>
    <w:rsid w:val="00173E3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yperlink" Target="https://paperpile.com/c/CN9ksY/OirYg"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paperpile.com/c/CN9ksY/irCCg" TargetMode="External"/><Relationship Id="rId5" Type="http://schemas.openxmlformats.org/officeDocument/2006/relationships/hyperlink" Target="https://paperpile.com/c/CN9ksY/8OlEm" TargetMode="External"/><Relationship Id="rId4" Type="http://schemas.openxmlformats.org/officeDocument/2006/relationships/image" Target="media/image1.png"/><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329</Words>
  <Characters>1878</Characters>
  <Application>Microsoft Office Word</Application>
  <DocSecurity>0</DocSecurity>
  <Lines>15</Lines>
  <Paragraphs>4</Paragraphs>
  <ScaleCrop>false</ScaleCrop>
  <Company/>
  <LinksUpToDate>false</LinksUpToDate>
  <CharactersWithSpaces>2203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Nicholson</dc:creator>
  <cp:keywords/>
  <dc:description/>
  <cp:lastModifiedBy>Michael Nicholson</cp:lastModifiedBy>
  <cp:revision>1</cp:revision>
  <dcterms:created xsi:type="dcterms:W3CDTF">2025-09-30T18:06:00Z</dcterms:created>
  <dcterms:modified xsi:type="dcterms:W3CDTF">2025-09-30T18:07:00Z</dcterms:modified>
</cp:coreProperties>
</file>