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03742" w14:textId="2385F025" w:rsidR="00A1270E" w:rsidRDefault="00A1270E" w:rsidP="00A1270E">
      <w:pPr>
        <w:pStyle w:val="Heading6"/>
        <w:spacing w:before="60" w:line="240" w:lineRule="auto"/>
        <w:jc w:val="both"/>
        <w:rPr>
          <w:i w:val="0"/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645A92E1" wp14:editId="53999F03">
            <wp:extent cx="5731510" cy="7528560"/>
            <wp:effectExtent l="0" t="0" r="0" b="2540"/>
            <wp:docPr id="96290012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00129" name="Picture 1" descr="A screenshot of a graph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Supplementary Figure 7. </w:t>
      </w:r>
      <w:r>
        <w:rPr>
          <w:color w:val="000000"/>
        </w:rPr>
        <w:t>Comparison of total retained 20AAR vs AXIN2 expression.</w:t>
      </w:r>
    </w:p>
    <w:p w14:paraId="5DD4E911" w14:textId="77777777" w:rsidR="00A1270E" w:rsidRDefault="00A1270E" w:rsidP="00A1270E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(a) AXIN2 RNA expression (RSEM normalised counts) in CRCs with biallelic APC inactivation and mutations on secondary </w:t>
      </w:r>
      <w:proofErr w:type="spellStart"/>
      <w:r>
        <w:rPr>
          <w:sz w:val="20"/>
          <w:szCs w:val="20"/>
        </w:rPr>
        <w:t>Wnt</w:t>
      </w:r>
      <w:proofErr w:type="spellEnd"/>
      <w:r>
        <w:rPr>
          <w:sz w:val="20"/>
          <w:szCs w:val="20"/>
        </w:rPr>
        <w:t xml:space="preserve"> regulator from TCGA cohort and (b) AXIN2 RNA expression (TPM) for a subset of CRCs in the 100kGP cohort with biallelic APC inactivation and mutations on secondary </w:t>
      </w:r>
      <w:proofErr w:type="spellStart"/>
      <w:r>
        <w:rPr>
          <w:sz w:val="20"/>
          <w:szCs w:val="20"/>
        </w:rPr>
        <w:t>Wnt</w:t>
      </w:r>
      <w:proofErr w:type="spellEnd"/>
      <w:r>
        <w:rPr>
          <w:sz w:val="20"/>
          <w:szCs w:val="20"/>
        </w:rPr>
        <w:t xml:space="preserve"> regulators. Violin plots of the RNA expression of AXIN2 in CRCs with APC inactivation and no other mutations on </w:t>
      </w:r>
      <w:proofErr w:type="spellStart"/>
      <w:r>
        <w:rPr>
          <w:sz w:val="20"/>
          <w:szCs w:val="20"/>
        </w:rPr>
        <w:t>Wnt</w:t>
      </w:r>
      <w:proofErr w:type="spellEnd"/>
      <w:r>
        <w:rPr>
          <w:sz w:val="20"/>
          <w:szCs w:val="20"/>
        </w:rPr>
        <w:t xml:space="preserve"> regulators reported in </w:t>
      </w:r>
      <w:proofErr w:type="spellStart"/>
      <w:r>
        <w:rPr>
          <w:sz w:val="20"/>
          <w:szCs w:val="20"/>
        </w:rPr>
        <w:t>CBioPortal</w:t>
      </w:r>
      <w:proofErr w:type="spellEnd"/>
      <w:r>
        <w:rPr>
          <w:sz w:val="20"/>
          <w:szCs w:val="20"/>
        </w:rPr>
        <w:t xml:space="preserve">, stratified by the total number of 20AARs retained, calculated as detailed in Methods M1. Coloured dots indicate the AXIN2 expression of tumours with </w:t>
      </w:r>
      <w:r>
        <w:rPr>
          <w:sz w:val="20"/>
          <w:szCs w:val="20"/>
        </w:rPr>
        <w:lastRenderedPageBreak/>
        <w:t xml:space="preserve">driver mutations on a secondary </w:t>
      </w:r>
      <w:proofErr w:type="spellStart"/>
      <w:r>
        <w:rPr>
          <w:sz w:val="20"/>
          <w:szCs w:val="20"/>
        </w:rPr>
        <w:t>Wnt</w:t>
      </w:r>
      <w:proofErr w:type="spellEnd"/>
      <w:r>
        <w:rPr>
          <w:sz w:val="20"/>
          <w:szCs w:val="20"/>
        </w:rPr>
        <w:t xml:space="preserve"> regulator (red=AMER1, pink=SOX9, blue=FBXW7, green=TCF7L2, light green=BCL9). Grey dots indicate the AXIN2 expression of tumours with APC inactivation but no additional driver mutations on </w:t>
      </w:r>
      <w:proofErr w:type="spellStart"/>
      <w:r>
        <w:rPr>
          <w:sz w:val="20"/>
          <w:szCs w:val="20"/>
        </w:rPr>
        <w:t>Wnt</w:t>
      </w:r>
      <w:proofErr w:type="spellEnd"/>
      <w:r>
        <w:rPr>
          <w:sz w:val="20"/>
          <w:szCs w:val="20"/>
        </w:rPr>
        <w:t xml:space="preserve"> regulators. These are used to calculate the Pearson correlation between AXIN2 expression and total retained 20AARs (</w:t>
      </w:r>
      <w:proofErr w:type="spellStart"/>
      <w:r>
        <w:rPr>
          <w:sz w:val="20"/>
          <w:szCs w:val="20"/>
        </w:rPr>
        <w:t>cBioPortal</w:t>
      </w:r>
      <w:proofErr w:type="spellEnd"/>
      <w:r>
        <w:rPr>
          <w:sz w:val="20"/>
          <w:szCs w:val="20"/>
        </w:rPr>
        <w:t xml:space="preserve">: n=168, </w:t>
      </w:r>
      <w:proofErr w:type="spellStart"/>
      <w:r>
        <w:rPr>
          <w:sz w:val="20"/>
          <w:szCs w:val="20"/>
        </w:rPr>
        <w:t>cor</w:t>
      </w:r>
      <w:proofErr w:type="spellEnd"/>
      <w:r>
        <w:rPr>
          <w:sz w:val="20"/>
          <w:szCs w:val="20"/>
        </w:rPr>
        <w:t>=-0.23, P=</w:t>
      </w:r>
      <w:r>
        <w:rPr>
          <w:sz w:val="20"/>
          <w:szCs w:val="20"/>
          <w:highlight w:val="white"/>
        </w:rPr>
        <w:t>2.6*</w:t>
      </w:r>
      <w:r>
        <w:rPr>
          <w:sz w:val="20"/>
          <w:szCs w:val="20"/>
        </w:rPr>
        <w:t>10</w:t>
      </w:r>
      <w:r>
        <w:rPr>
          <w:sz w:val="20"/>
          <w:szCs w:val="20"/>
          <w:vertAlign w:val="superscript"/>
        </w:rPr>
        <w:t>-3</w:t>
      </w:r>
      <w:r>
        <w:rPr>
          <w:sz w:val="20"/>
          <w:szCs w:val="20"/>
          <w:highlight w:val="white"/>
        </w:rPr>
        <w:t xml:space="preserve">; </w:t>
      </w:r>
      <w:r>
        <w:rPr>
          <w:sz w:val="20"/>
          <w:szCs w:val="20"/>
        </w:rPr>
        <w:t xml:space="preserve">100kGP: n= 56, </w:t>
      </w:r>
      <w:proofErr w:type="spellStart"/>
      <w:r>
        <w:rPr>
          <w:sz w:val="20"/>
          <w:szCs w:val="20"/>
        </w:rPr>
        <w:t>cor</w:t>
      </w:r>
      <w:proofErr w:type="spellEnd"/>
      <w:r>
        <w:rPr>
          <w:sz w:val="20"/>
          <w:szCs w:val="20"/>
        </w:rPr>
        <w:t>=-0.34, P=</w:t>
      </w:r>
      <w:r>
        <w:rPr>
          <w:sz w:val="20"/>
          <w:szCs w:val="20"/>
          <w:highlight w:val="white"/>
        </w:rPr>
        <w:t>3.1*</w:t>
      </w:r>
      <w:r>
        <w:rPr>
          <w:sz w:val="20"/>
          <w:szCs w:val="20"/>
        </w:rPr>
        <w:t>10</w:t>
      </w:r>
      <w:r>
        <w:rPr>
          <w:sz w:val="20"/>
          <w:szCs w:val="20"/>
          <w:vertAlign w:val="superscript"/>
        </w:rPr>
        <w:t>-2</w:t>
      </w:r>
      <w:r>
        <w:rPr>
          <w:sz w:val="20"/>
          <w:szCs w:val="20"/>
          <w:highlight w:val="white"/>
        </w:rPr>
        <w:t>)</w:t>
      </w:r>
      <w:r>
        <w:rPr>
          <w:sz w:val="20"/>
          <w:szCs w:val="20"/>
        </w:rPr>
        <w:t xml:space="preserve">. The diamond-shaped black dots indicate the mean of the samples with only APC inactivation. </w:t>
      </w:r>
    </w:p>
    <w:p w14:paraId="58EEB875" w14:textId="77777777" w:rsidR="004535C0" w:rsidRDefault="004535C0"/>
    <w:sectPr w:rsidR="00453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70E"/>
    <w:rsid w:val="004535C0"/>
    <w:rsid w:val="00523737"/>
    <w:rsid w:val="007C41EE"/>
    <w:rsid w:val="009860CF"/>
    <w:rsid w:val="00A1270E"/>
    <w:rsid w:val="00C47803"/>
    <w:rsid w:val="00C6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71F36"/>
  <w15:chartTrackingRefBased/>
  <w15:docId w15:val="{731B2228-41B5-4445-8864-C444F182A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70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270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70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70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70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70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1270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70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70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70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2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70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2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70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2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70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2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Nicholson</dc:creator>
  <cp:keywords/>
  <dc:description/>
  <cp:lastModifiedBy>Michael Nicholson</cp:lastModifiedBy>
  <cp:revision>1</cp:revision>
  <dcterms:created xsi:type="dcterms:W3CDTF">2025-09-30T18:07:00Z</dcterms:created>
  <dcterms:modified xsi:type="dcterms:W3CDTF">2025-09-30T18:07:00Z</dcterms:modified>
</cp:coreProperties>
</file>