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98DD7" w14:textId="1E3744E2" w:rsidR="000F3818" w:rsidRDefault="000F3818" w:rsidP="000F3818">
      <w:pPr>
        <w:pStyle w:val="Heading6"/>
        <w:spacing w:before="60" w:line="240" w:lineRule="auto"/>
        <w:jc w:val="both"/>
        <w:rPr>
          <w:color w:val="000000"/>
        </w:rPr>
      </w:pPr>
      <w:r>
        <w:rPr>
          <w:b/>
          <w:noProof/>
          <w:color w:val="000000"/>
        </w:rPr>
        <w:drawing>
          <wp:inline distT="0" distB="0" distL="0" distR="0" wp14:anchorId="495A46A0" wp14:editId="7F3295DC">
            <wp:extent cx="5731510" cy="4019550"/>
            <wp:effectExtent l="0" t="0" r="0" b="6350"/>
            <wp:docPr id="583136913" name="Picture 1" descr="A group of graphs showing different types of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36913" name="Picture 1" descr="A group of graphs showing different types of data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>Supplementary Figure 8.</w:t>
      </w:r>
      <w:r>
        <w:rPr>
          <w:color w:val="000000"/>
        </w:rPr>
        <w:t xml:space="preserve"> Site-specific differences in mutational signatures in the healthy colon. </w:t>
      </w:r>
    </w:p>
    <w:p w14:paraId="4E23671E" w14:textId="77777777" w:rsidR="000F3818" w:rsidRDefault="000F3818" w:rsidP="000F3818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For mutational signatures observed ubiquitously in the healthy colon, we show the proportion of signature exposures, calculated by Lee-Six </w:t>
      </w:r>
      <w:r>
        <w:rPr>
          <w:i/>
          <w:sz w:val="20"/>
          <w:szCs w:val="20"/>
        </w:rPr>
        <w:t>et al</w:t>
      </w:r>
      <w:r>
        <w:rPr>
          <w:sz w:val="20"/>
          <w:szCs w:val="20"/>
        </w:rPr>
        <w:t xml:space="preserve"> </w:t>
      </w:r>
      <w:hyperlink r:id="rId5">
        <w:r>
          <w:rPr>
            <w:color w:val="000000"/>
            <w:sz w:val="20"/>
            <w:szCs w:val="20"/>
          </w:rPr>
          <w:t>[5]</w:t>
        </w:r>
      </w:hyperlink>
      <w:r>
        <w:rPr>
          <w:sz w:val="20"/>
          <w:szCs w:val="20"/>
        </w:rPr>
        <w:t xml:space="preserve"> for healthy colonic crypts labelled as Left colon (corresponding to distal) or Right colon (corresponding to proximal). Significant site-specific differences exist for SBS5 and SBS18, although the magnitude of the effect is relatively minor and so is unlikely to largely contribute to site-specificity of </w:t>
      </w:r>
      <w:r>
        <w:rPr>
          <w:i/>
          <w:sz w:val="20"/>
          <w:szCs w:val="20"/>
        </w:rPr>
        <w:t>APC</w:t>
      </w:r>
      <w:r>
        <w:rPr>
          <w:sz w:val="20"/>
          <w:szCs w:val="20"/>
        </w:rPr>
        <w:t xml:space="preserve"> genotypes in CRCs.</w:t>
      </w:r>
    </w:p>
    <w:p w14:paraId="41897B89" w14:textId="77777777" w:rsidR="004535C0" w:rsidRDefault="004535C0"/>
    <w:sectPr w:rsidR="004535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818"/>
    <w:rsid w:val="000F3818"/>
    <w:rsid w:val="004535C0"/>
    <w:rsid w:val="00523737"/>
    <w:rsid w:val="007C41EE"/>
    <w:rsid w:val="009860CF"/>
    <w:rsid w:val="00C47803"/>
    <w:rsid w:val="00C63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80784E"/>
  <w15:chartTrackingRefBased/>
  <w15:docId w15:val="{7196B79F-4D48-5645-A984-FAAF1A5A1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818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381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81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81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81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81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F381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81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81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81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8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8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8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F3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81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F3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81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F3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81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F38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8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8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paperpile.com/c/CN9ksY/Ikxpy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Nicholson</dc:creator>
  <cp:keywords/>
  <dc:description/>
  <cp:lastModifiedBy>Michael Nicholson</cp:lastModifiedBy>
  <cp:revision>1</cp:revision>
  <dcterms:created xsi:type="dcterms:W3CDTF">2025-09-30T18:07:00Z</dcterms:created>
  <dcterms:modified xsi:type="dcterms:W3CDTF">2025-09-30T18:08:00Z</dcterms:modified>
</cp:coreProperties>
</file>