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hd w:fill="FFFFFF" w:val="clear"/>
        <w:jc w:val="both"/>
        <w:rPr>
          <w:sz w:val="22"/>
          <w:szCs w:val="22"/>
        </w:rPr>
      </w:pPr>
      <w:r>
        <w:rPr>
          <w:sz w:val="22"/>
          <w:szCs w:val="22"/>
        </w:rPr>
        <w:t>Supplementary Table 10. Signature analysis results</w:t>
      </w:r>
    </w:p>
    <w:p>
      <w:pPr>
        <w:pStyle w:val="Normal1"/>
        <w:jc w:val="both"/>
        <w:rPr/>
      </w:pPr>
      <w:r>
        <w:rPr/>
      </w:r>
    </w:p>
    <w:tbl>
      <w:tblPr>
        <w:tblStyle w:val="Table11"/>
        <w:tblW w:w="10155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75"/>
        <w:gridCol w:w="989"/>
        <w:gridCol w:w="1365"/>
        <w:gridCol w:w="1245"/>
        <w:gridCol w:w="1065"/>
        <w:gridCol w:w="645"/>
        <w:gridCol w:w="990"/>
        <w:gridCol w:w="705"/>
        <w:gridCol w:w="1200"/>
        <w:gridCol w:w="976"/>
      </w:tblGrid>
      <w:tr>
        <w:trPr>
          <w:trHeight w:val="455" w:hRule="atLeast"/>
        </w:trPr>
        <w:tc>
          <w:tcPr>
            <w:tcW w:w="97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309" w:type="dxa"/>
            <w:gridSpan w:val="5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Mutation probabilities (stop-gain)</w:t>
            </w:r>
          </w:p>
        </w:tc>
        <w:tc>
          <w:tcPr>
            <w:tcW w:w="3871" w:type="dxa"/>
            <w:gridSpan w:val="4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Mutation probabilities (Frameshifts)</w:t>
            </w:r>
          </w:p>
        </w:tc>
      </w:tr>
      <w:tr>
        <w:trPr>
          <w:trHeight w:val="455" w:hRule="atLeast"/>
        </w:trPr>
        <w:tc>
          <w:tcPr>
            <w:tcW w:w="97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APC Region</w:t>
            </w:r>
          </w:p>
        </w:tc>
        <w:tc>
          <w:tcPr>
            <w:tcW w:w="989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Healthy colon</w:t>
            </w:r>
          </w:p>
        </w:tc>
        <w:tc>
          <w:tcPr>
            <w:tcW w:w="136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Healthy right colon</w:t>
            </w:r>
          </w:p>
        </w:tc>
        <w:tc>
          <w:tcPr>
            <w:tcW w:w="124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Healthy left colon</w:t>
            </w:r>
          </w:p>
        </w:tc>
        <w:tc>
          <w:tcPr>
            <w:tcW w:w="106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POLE-d CRCs</w:t>
            </w:r>
          </w:p>
        </w:tc>
        <w:tc>
          <w:tcPr>
            <w:tcW w:w="64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MSI CRCs</w:t>
            </w:r>
          </w:p>
        </w:tc>
        <w:tc>
          <w:tcPr>
            <w:tcW w:w="990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Healthy colon</w:t>
            </w:r>
          </w:p>
        </w:tc>
        <w:tc>
          <w:tcPr>
            <w:tcW w:w="70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Healthy right colon</w:t>
            </w:r>
          </w:p>
        </w:tc>
        <w:tc>
          <w:tcPr>
            <w:tcW w:w="1200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Healthy left colon</w:t>
            </w:r>
          </w:p>
        </w:tc>
        <w:tc>
          <w:tcPr>
            <w:tcW w:w="976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MSI CRCs</w:t>
            </w:r>
          </w:p>
        </w:tc>
      </w:tr>
      <w:tr>
        <w:trPr>
          <w:trHeight w:val="455" w:hRule="atLeast"/>
        </w:trPr>
        <w:tc>
          <w:tcPr>
            <w:tcW w:w="97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R0</w:t>
            </w:r>
          </w:p>
        </w:tc>
        <w:tc>
          <w:tcPr>
            <w:tcW w:w="989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0.848</w:t>
            </w:r>
          </w:p>
        </w:tc>
        <w:tc>
          <w:tcPr>
            <w:tcW w:w="136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0.84758</w:t>
            </w:r>
          </w:p>
        </w:tc>
        <w:tc>
          <w:tcPr>
            <w:tcW w:w="124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0.84904</w:t>
            </w:r>
          </w:p>
        </w:tc>
        <w:tc>
          <w:tcPr>
            <w:tcW w:w="106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0.78214</w:t>
            </w:r>
          </w:p>
        </w:tc>
        <w:tc>
          <w:tcPr>
            <w:tcW w:w="64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0.84827</w:t>
            </w:r>
          </w:p>
        </w:tc>
        <w:tc>
          <w:tcPr>
            <w:tcW w:w="990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0.73744</w:t>
            </w:r>
          </w:p>
        </w:tc>
        <w:tc>
          <w:tcPr>
            <w:tcW w:w="70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0.40667</w:t>
            </w:r>
          </w:p>
        </w:tc>
        <w:tc>
          <w:tcPr>
            <w:tcW w:w="1200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0.50181</w:t>
            </w:r>
          </w:p>
        </w:tc>
        <w:tc>
          <w:tcPr>
            <w:tcW w:w="976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0.50368</w:t>
            </w:r>
          </w:p>
        </w:tc>
      </w:tr>
      <w:tr>
        <w:trPr>
          <w:trHeight w:val="455" w:hRule="atLeast"/>
        </w:trPr>
        <w:tc>
          <w:tcPr>
            <w:tcW w:w="97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R1</w:t>
            </w:r>
          </w:p>
        </w:tc>
        <w:tc>
          <w:tcPr>
            <w:tcW w:w="989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0.05476</w:t>
            </w:r>
          </w:p>
        </w:tc>
        <w:tc>
          <w:tcPr>
            <w:tcW w:w="136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0.05503</w:t>
            </w:r>
          </w:p>
        </w:tc>
        <w:tc>
          <w:tcPr>
            <w:tcW w:w="124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0.05438</w:t>
            </w:r>
          </w:p>
        </w:tc>
        <w:tc>
          <w:tcPr>
            <w:tcW w:w="106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0.08898</w:t>
            </w:r>
          </w:p>
        </w:tc>
        <w:tc>
          <w:tcPr>
            <w:tcW w:w="64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0.06335</w:t>
            </w:r>
          </w:p>
        </w:tc>
        <w:tc>
          <w:tcPr>
            <w:tcW w:w="990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0.06454</w:t>
            </w:r>
          </w:p>
        </w:tc>
        <w:tc>
          <w:tcPr>
            <w:tcW w:w="70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0.03586</w:t>
            </w:r>
          </w:p>
        </w:tc>
        <w:tc>
          <w:tcPr>
            <w:tcW w:w="1200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0.04435</w:t>
            </w:r>
          </w:p>
        </w:tc>
        <w:tc>
          <w:tcPr>
            <w:tcW w:w="976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0.04452</w:t>
            </w:r>
          </w:p>
        </w:tc>
      </w:tr>
      <w:tr>
        <w:trPr>
          <w:trHeight w:val="455" w:hRule="atLeast"/>
        </w:trPr>
        <w:tc>
          <w:tcPr>
            <w:tcW w:w="97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R2</w:t>
            </w:r>
          </w:p>
        </w:tc>
        <w:tc>
          <w:tcPr>
            <w:tcW w:w="989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0.05457</w:t>
            </w:r>
          </w:p>
        </w:tc>
        <w:tc>
          <w:tcPr>
            <w:tcW w:w="136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0.05465</w:t>
            </w:r>
          </w:p>
        </w:tc>
        <w:tc>
          <w:tcPr>
            <w:tcW w:w="124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0.05444</w:t>
            </w:r>
          </w:p>
        </w:tc>
        <w:tc>
          <w:tcPr>
            <w:tcW w:w="106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0.04064</w:t>
            </w:r>
          </w:p>
        </w:tc>
        <w:tc>
          <w:tcPr>
            <w:tcW w:w="64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0.05034</w:t>
            </w:r>
          </w:p>
        </w:tc>
        <w:tc>
          <w:tcPr>
            <w:tcW w:w="990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0.08539</w:t>
            </w:r>
          </w:p>
        </w:tc>
        <w:tc>
          <w:tcPr>
            <w:tcW w:w="70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0.03714</w:t>
            </w:r>
          </w:p>
        </w:tc>
        <w:tc>
          <w:tcPr>
            <w:tcW w:w="1200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0.04542</w:t>
            </w:r>
          </w:p>
        </w:tc>
        <w:tc>
          <w:tcPr>
            <w:tcW w:w="976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0.04558</w:t>
            </w:r>
          </w:p>
        </w:tc>
      </w:tr>
      <w:tr>
        <w:trPr>
          <w:trHeight w:val="455" w:hRule="atLeast"/>
        </w:trPr>
        <w:tc>
          <w:tcPr>
            <w:tcW w:w="97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R3</w:t>
            </w:r>
          </w:p>
        </w:tc>
        <w:tc>
          <w:tcPr>
            <w:tcW w:w="989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0.04250</w:t>
            </w:r>
          </w:p>
        </w:tc>
        <w:tc>
          <w:tcPr>
            <w:tcW w:w="136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0.04274</w:t>
            </w:r>
          </w:p>
        </w:tc>
        <w:tc>
          <w:tcPr>
            <w:tcW w:w="124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0.04215</w:t>
            </w:r>
          </w:p>
        </w:tc>
        <w:tc>
          <w:tcPr>
            <w:tcW w:w="106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0.08825</w:t>
            </w:r>
          </w:p>
        </w:tc>
        <w:tc>
          <w:tcPr>
            <w:tcW w:w="64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0.03804</w:t>
            </w:r>
          </w:p>
        </w:tc>
        <w:tc>
          <w:tcPr>
            <w:tcW w:w="990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0.11263</w:t>
            </w:r>
          </w:p>
        </w:tc>
        <w:tc>
          <w:tcPr>
            <w:tcW w:w="70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0.52032</w:t>
            </w:r>
          </w:p>
        </w:tc>
        <w:tc>
          <w:tcPr>
            <w:tcW w:w="1200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0.40843</w:t>
            </w:r>
          </w:p>
        </w:tc>
        <w:tc>
          <w:tcPr>
            <w:tcW w:w="976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0.40622</w:t>
            </w:r>
          </w:p>
        </w:tc>
      </w:tr>
    </w:tbl>
    <w:p>
      <w:pPr>
        <w:pStyle w:val="Normal1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Normal1"/>
        <w:jc w:val="both"/>
        <w:rPr>
          <w:sz w:val="20"/>
          <w:szCs w:val="20"/>
        </w:rPr>
      </w:pPr>
      <w:r>
        <w:rPr>
          <w:i/>
          <w:sz w:val="20"/>
          <w:szCs w:val="20"/>
        </w:rPr>
        <w:t xml:space="preserve">Supplementary Table 10. </w:t>
      </w:r>
      <w:r>
        <w:rPr>
          <w:sz w:val="20"/>
          <w:szCs w:val="20"/>
        </w:rPr>
        <w:t xml:space="preserve">The relative proportion of stop-gain and frameshifts expected to fall in different regions of </w:t>
      </w:r>
      <w:r>
        <w:rPr>
          <w:i/>
          <w:sz w:val="20"/>
          <w:szCs w:val="20"/>
        </w:rPr>
        <w:t>APC</w:t>
      </w:r>
      <w:r>
        <w:rPr>
          <w:sz w:val="20"/>
          <w:szCs w:val="20"/>
        </w:rPr>
        <w:t xml:space="preserve">, estimated by considering the ubiquitous mutational signatures found in healthy colon crypts </w:t>
      </w:r>
      <w:hyperlink r:id="rId2">
        <w:r>
          <w:rPr>
            <w:b w:val="false"/>
            <w:color w:val="000000"/>
            <w:sz w:val="20"/>
            <w:szCs w:val="20"/>
            <w:u w:val="none"/>
          </w:rPr>
          <w:t>[5]</w:t>
        </w:r>
      </w:hyperlink>
      <w:r>
        <w:rPr>
          <w:sz w:val="20"/>
          <w:szCs w:val="20"/>
        </w:rPr>
        <w:t xml:space="preserve">, crypts with POLE mutations </w:t>
      </w:r>
      <w:hyperlink r:id="rId3">
        <w:r>
          <w:rPr>
            <w:b w:val="false"/>
            <w:color w:val="000000"/>
            <w:sz w:val="20"/>
            <w:szCs w:val="20"/>
            <w:u w:val="none"/>
          </w:rPr>
          <w:t>[18]</w:t>
        </w:r>
      </w:hyperlink>
      <w:r>
        <w:rPr>
          <w:sz w:val="20"/>
          <w:szCs w:val="20"/>
        </w:rPr>
        <w:t xml:space="preserve"> and MSI CRCs in the 100kGP cohort (Methods). These are used to estimate the mutation probabilities of different </w:t>
      </w:r>
      <w:r>
        <w:rPr>
          <w:i/>
          <w:sz w:val="20"/>
          <w:szCs w:val="20"/>
        </w:rPr>
        <w:t>APC</w:t>
      </w:r>
      <w:r>
        <w:rPr>
          <w:sz w:val="20"/>
          <w:szCs w:val="20"/>
        </w:rPr>
        <w:t xml:space="preserve"> genotypes.</w:t>
      </w:r>
    </w:p>
    <w:p>
      <w:pPr>
        <w:pStyle w:val="Normal1"/>
        <w:jc w:val="both"/>
        <w:rPr>
          <w:sz w:val="20"/>
          <w:szCs w:val="20"/>
        </w:rPr>
      </w:pPr>
      <w:r>
        <w:rPr>
          <w:sz w:val="22"/>
          <w:szCs w:val="22"/>
        </w:rPr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shd w:val="clear" w:fill="FFFFFF"/>
    </w:pPr>
    <w:rPr>
      <w:b/>
      <w:color w:val="4471C4"/>
      <w:sz w:val="28"/>
      <w:szCs w:val="28"/>
    </w:rPr>
  </w:style>
  <w:style w:type="paragraph" w:styleId="Heading2">
    <w:name w:val="Heading 2"/>
    <w:basedOn w:val="LOnormal"/>
    <w:next w:val="LOnormal"/>
    <w:qFormat/>
    <w:pPr>
      <w:keepNext w:val="true"/>
      <w:keepLines/>
      <w:shd w:val="clear" w:fill="FFFFFF"/>
    </w:pPr>
    <w:rPr>
      <w:b/>
      <w:sz w:val="26"/>
      <w:szCs w:val="26"/>
    </w:rPr>
  </w:style>
  <w:style w:type="paragraph" w:styleId="Heading3">
    <w:name w:val="Heading 3"/>
    <w:basedOn w:val="LOnormal"/>
    <w:next w:val="LOnormal"/>
    <w:qFormat/>
    <w:pPr>
      <w:keepNext w:val="true"/>
      <w:keepLines/>
      <w:spacing w:lineRule="auto" w:line="240" w:before="320" w:after="80"/>
    </w:pPr>
    <w:rPr>
      <w:b/>
      <w:i/>
      <w:color w:val="434343"/>
      <w:sz w:val="24"/>
      <w:szCs w:val="24"/>
    </w:rPr>
  </w:style>
  <w:style w:type="paragraph" w:styleId="Heading4">
    <w:name w:val="Heading 4"/>
    <w:basedOn w:val="LOnormal"/>
    <w:next w:val="LOnormal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spacing w:lineRule="auto" w:line="240" w:before="240" w:after="80"/>
    </w:pPr>
    <w:rPr>
      <w:color w:val="666666"/>
    </w:rPr>
  </w:style>
  <w:style w:type="paragraph" w:styleId="Heading6">
    <w:name w:val="Heading 6"/>
    <w:basedOn w:val="LOnormal"/>
    <w:next w:val="LOnormal"/>
    <w:qFormat/>
    <w:pPr>
      <w:keepNext w:val="true"/>
      <w:keepLines/>
      <w:spacing w:lineRule="auto" w:line="240" w:before="240" w:after="80"/>
    </w:pPr>
    <w:rPr>
      <w:i/>
      <w:color w:val="666666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shd w:val="clear" w:fill="FFFFFF"/>
    </w:pPr>
    <w:rPr>
      <w:b/>
      <w:color w:val="4471C4"/>
      <w:sz w:val="36"/>
      <w:szCs w:val="36"/>
    </w:rPr>
  </w:style>
  <w:style w:type="paragraph" w:styleId="Subtitle">
    <w:name w:val="Subtitle"/>
    <w:basedOn w:val="LOnormal"/>
    <w:next w:val="LOnormal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paragraph" w:styleId="Normal1">
    <w:name w:val="LO-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aperpile.com/c/CN9ksY/Ikxpy" TargetMode="External"/><Relationship Id="rId3" Type="http://schemas.openxmlformats.org/officeDocument/2006/relationships/hyperlink" Target="https://paperpile.com/c/CN9ksY/CyO10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LibreOffice/6.4.7.2$Linux_X86_64 LibreOffice_project/40$Build-2</Application>
  <Pages>1</Pages>
  <Words>132</Words>
  <Characters>815</Characters>
  <CharactersWithSpaces>893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2025-09-26T22:40:37Z</dcterms:modified>
  <cp:revision>11</cp:revision>
  <dc:subject/>
  <dc:title/>
</cp:coreProperties>
</file>