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  <w:t>Supplementary Table 3. cBioPortal datasets</w:t>
      </w:r>
    </w:p>
    <w:p>
      <w:pPr>
        <w:pStyle w:val="Normal1"/>
        <w:jc w:val="both"/>
        <w:rPr/>
      </w:pPr>
      <w:r>
        <w:rPr/>
      </w:r>
    </w:p>
    <w:tbl>
      <w:tblPr>
        <w:tblStyle w:val="Table4"/>
        <w:tblW w:w="9045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739"/>
        <w:gridCol w:w="4305"/>
      </w:tblGrid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 ID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samples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coad_caseccc_2015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coad_cptac_2019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coad_silu_2022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coadread_dfci_2016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coadread_genentech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coadread_mskcc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coadread_mskresistance_2022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coadread_tcga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crc_apc_impact_2020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crc_dd_2022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crc_nigerian_2020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crc_public_genie_bpc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593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rectal_msk_2019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primary CRC with two truncating mutations on APC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1,305</w:t>
            </w:r>
          </w:p>
        </w:tc>
      </w:tr>
      <w:tr>
        <w:trPr>
          <w:trHeight w:val="455" w:hRule="atLeast"/>
        </w:trPr>
        <w:tc>
          <w:tcPr>
            <w:tcW w:w="4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primary MSS CRC samples with two truncating mutations on APC and no copy number alterations at APC locus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1,041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1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jc w:val="both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3. </w:t>
      </w:r>
      <w:r>
        <w:rPr>
          <w:sz w:val="20"/>
          <w:szCs w:val="20"/>
        </w:rPr>
        <w:t xml:space="preserve">Public data accessed through cBioPortal </w:t>
      </w:r>
      <w:hyperlink r:id="rId2">
        <w:r>
          <w:rPr>
            <w:b w:val="false"/>
            <w:color w:val="000000"/>
            <w:sz w:val="20"/>
            <w:szCs w:val="20"/>
            <w:u w:val="none"/>
          </w:rPr>
          <w:t>[16,17]</w:t>
        </w:r>
      </w:hyperlink>
      <w:r>
        <w:rPr>
          <w:sz w:val="20"/>
          <w:szCs w:val="20"/>
        </w:rPr>
        <w:t xml:space="preserve"> as of 1st of September 2023. Duplicated samples across different studies were removed. Primary tumors with two pathogenic mutations on APC and no copy-number alterations other than WGD were considered</w:t>
      </w:r>
      <w:r>
        <w:rPr>
          <w:sz w:val="20"/>
          <w:szCs w:val="20"/>
          <w:highlight w:val="white"/>
        </w:rPr>
        <w:t xml:space="preserve">. </w:t>
      </w:r>
      <w:r>
        <w:rPr>
          <w:sz w:val="20"/>
          <w:szCs w:val="20"/>
        </w:rPr>
        <w:t xml:space="preserve">The data and scripts used are available at </w:t>
      </w:r>
      <w:hyperlink r:id="rId3">
        <w:r>
          <w:rPr>
            <w:sz w:val="20"/>
            <w:szCs w:val="20"/>
            <w:u w:val="single"/>
          </w:rPr>
          <w:t>https://github.com/xellbrunet/APC_Public</w:t>
        </w:r>
      </w:hyperlink>
      <w:r>
        <w:rPr>
          <w:sz w:val="20"/>
          <w:szCs w:val="20"/>
        </w:rPr>
        <w:t>.</w:t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perpile.com/c/CN9ksY/CxwkP+TNLp9" TargetMode="External"/><Relationship Id="rId3" Type="http://schemas.openxmlformats.org/officeDocument/2006/relationships/hyperlink" Target="https://github.com/xellbrunet/APC_Public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1</Pages>
  <Words>114</Words>
  <Characters>764</Characters>
  <CharactersWithSpaces>844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2025-09-26T22:38:35Z</dcterms:modified>
  <cp:revision>4</cp:revision>
  <dc:subject/>
  <dc:title/>
</cp:coreProperties>
</file>