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fill="FFFFFF" w:val="clear"/>
        <w:rPr>
          <w:sz w:val="22"/>
          <w:szCs w:val="22"/>
        </w:rPr>
      </w:pPr>
      <w:r>
        <w:rPr>
          <w:sz w:val="22"/>
          <w:szCs w:val="22"/>
        </w:rPr>
        <w:t>Supplementary Table 6. Model parameters</w:t>
      </w:r>
    </w:p>
    <w:p>
      <w:pPr>
        <w:pStyle w:val="Normal1"/>
        <w:rPr/>
      </w:pPr>
      <w:r>
        <w:rPr/>
      </w:r>
    </w:p>
    <w:tbl>
      <w:tblPr>
        <w:tblStyle w:val="Table7"/>
        <w:tblW w:w="903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125"/>
        <w:gridCol w:w="974"/>
        <w:gridCol w:w="1231"/>
        <w:gridCol w:w="1259"/>
        <w:gridCol w:w="1201"/>
        <w:gridCol w:w="1484"/>
        <w:gridCol w:w="871"/>
        <w:gridCol w:w="884"/>
      </w:tblGrid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Genotype </w:t>
            </w: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</m:oMath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Total retained 20AARs 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Mutation probability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</m:d>
                </m:sub>
              </m:sSub>
            </m:oMath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Frequency in 100kGP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</m:d>
                </m:sub>
              </m:sSub>
            </m:oMath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in 100kGP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Relative CRC progression probability</w:t>
            </w:r>
            <w:r>
              <w:rPr/>
            </w:r>
            <m:oMath xmlns:m="http://schemas.openxmlformats.org/officeDocument/2006/math">
              <m:sSub>
                <m:e>
                  <m:acc>
                    <m:accPr>
                      <m:chr m:val="~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</m:acc>
                </m:e>
                <m:sub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</m:d>
                </m:sub>
              </m:sSub>
            </m:oMath>
          </w:p>
        </w:tc>
        <w:tc>
          <w:tcPr>
            <w:tcW w:w="1755" w:type="dxa"/>
            <w:gridSpan w:val="2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95 % CI for </w:t>
            </w:r>
            <w:r>
              <w:rPr/>
            </w:r>
            <m:oMath xmlns:m="http://schemas.openxmlformats.org/officeDocument/2006/math">
              <m:sSub>
                <m:e>
                  <m:acc>
                    <m:accPr>
                      <m:chr m:val="~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</m:acc>
                </m:e>
                <m:sub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</m:d>
                </m:sub>
              </m:sSub>
            </m:oMath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(0, 0)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0.1733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0.0309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0.0036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0.0024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0.0050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(1, 1)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0.0009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0.0125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0.1899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0.0962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0.2868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(2, 2)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0.0012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0.0039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0.0425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0.0941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(3, 3)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0.0014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0.0029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0.0373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0.0841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(0, 1)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0.0245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0.1148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0.0870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0.0687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0.1070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(1, 2)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0.0022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0.0039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0.0573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0.0170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0.1011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(1, 3)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0.0023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0.0010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0.0158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0.0406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(0, 2)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0.0283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0.1794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186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0.1164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0.0943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0.1386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(2, 3)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0.0047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0.0039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0.0411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0.0136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0.0755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(0, 3)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0.0314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0.0771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0.0531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0.0407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0.0660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(0,-)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0.3318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0.0714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0.0037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0.0027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0.0048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(1,-)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0.0244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0.0897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0.0654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0.0495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0.0833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(2,-)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0.0281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0.1389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0.1010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0.0817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0.1231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(3,-)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0.0301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0.0280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0.0168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0.0107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0.0236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(0, x2)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0.2525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0.0521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0.0037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0.0026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0.0048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(1, x2)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0.0186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0.1331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0.1263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0.1016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0.1548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(2, x2)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0.0214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0.0357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0.0289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0.0185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0.0399</w:t>
            </w:r>
          </w:p>
        </w:tc>
      </w:tr>
      <w:tr>
        <w:trPr>
          <w:trHeight w:val="455" w:hRule="atLeast"/>
        </w:trPr>
        <w:tc>
          <w:tcPr>
            <w:tcW w:w="112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(3, x2)</w:t>
            </w:r>
          </w:p>
        </w:tc>
        <w:tc>
          <w:tcPr>
            <w:tcW w:w="97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3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0.0229</w:t>
            </w:r>
          </w:p>
        </w:tc>
        <w:tc>
          <w:tcPr>
            <w:tcW w:w="125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0.0116</w:t>
            </w:r>
          </w:p>
        </w:tc>
        <w:tc>
          <w:tcPr>
            <w:tcW w:w="120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4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0.0104</w:t>
            </w:r>
          </w:p>
        </w:tc>
        <w:tc>
          <w:tcPr>
            <w:tcW w:w="8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0.0049</w:t>
            </w:r>
          </w:p>
        </w:tc>
        <w:tc>
          <w:tcPr>
            <w:tcW w:w="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0.0163</w:t>
            </w:r>
          </w:p>
        </w:tc>
      </w:tr>
    </w:tbl>
    <w:p>
      <w:pPr>
        <w:pStyle w:val="Normal1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1"/>
        <w:rPr>
          <w:sz w:val="20"/>
          <w:szCs w:val="20"/>
        </w:rPr>
      </w:pPr>
      <w:r>
        <w:rPr>
          <w:i/>
          <w:sz w:val="20"/>
          <w:szCs w:val="20"/>
        </w:rPr>
        <w:t xml:space="preserve">Supplementary Table 6. </w:t>
      </w:r>
      <w:r>
        <w:rPr>
          <w:sz w:val="20"/>
          <w:szCs w:val="20"/>
        </w:rPr>
        <w:t xml:space="preserve">Model parameters for APC-driven CRC initiation in the healthy colon. Mutation probabilities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N</m:t>
                </m:r>
              </m:e>
            </m:d>
          </m:sub>
        </m:sSub>
      </m:oMath>
      <w:r>
        <w:rPr>
          <w:sz w:val="20"/>
          <w:szCs w:val="20"/>
        </w:rPr>
        <w:t xml:space="preserve"> calculated using the mutational signatures ubiquitous to colonic crypts </w:t>
      </w:r>
      <w:hyperlink r:id="rId2">
        <w:r>
          <w:rPr>
            <w:b w:val="false"/>
            <w:color w:val="000000"/>
            <w:sz w:val="20"/>
            <w:szCs w:val="20"/>
            <w:u w:val="none"/>
          </w:rPr>
          <w:t>[5]</w:t>
        </w:r>
      </w:hyperlink>
      <w:r>
        <w:rPr>
          <w:sz w:val="20"/>
          <w:szCs w:val="20"/>
        </w:rPr>
        <w:t>, Methods),</w:t>
      </w:r>
      <w:r>
        <w:rPr>
          <w:rFonts w:eastAsia="Cambria Math" w:cs="Cambria Math" w:ascii="Cambria Math" w:hAnsi="Cambria Math"/>
          <w:sz w:val="20"/>
          <w:szCs w:val="20"/>
        </w:rPr>
        <w:t xml:space="preserve"> </w:t>
      </w:r>
      <w:r>
        <w:rPr>
          <w:sz w:val="20"/>
          <w:szCs w:val="20"/>
        </w:rPr>
        <w:t xml:space="preserve">frequencies of CRCs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N</m:t>
                </m:r>
              </m:e>
            </m:d>
          </m:sub>
        </m:sSub>
      </m:oMath>
      <w:r>
        <w:rPr>
          <w:rFonts w:eastAsia="Cambria Math" w:cs="Cambria Math" w:ascii="Cambria Math" w:hAnsi="Cambria Math"/>
          <w:sz w:val="20"/>
          <w:szCs w:val="20"/>
        </w:rPr>
        <w:t xml:space="preserve"> </w:t>
      </w:r>
      <w:r>
        <w:rPr>
          <w:sz w:val="20"/>
          <w:szCs w:val="20"/>
        </w:rPr>
        <w:t xml:space="preserve">are calculated from the 100kGP cohort of MSS primary CRCs </w:t>
      </w:r>
      <w:hyperlink r:id="rId3">
        <w:r>
          <w:rPr>
            <w:b w:val="false"/>
            <w:color w:val="000000"/>
            <w:sz w:val="20"/>
            <w:szCs w:val="20"/>
            <w:u w:val="none"/>
          </w:rPr>
          <w:t>[2]</w:t>
        </w:r>
      </w:hyperlink>
      <w:r>
        <w:rPr>
          <w:sz w:val="20"/>
          <w:szCs w:val="20"/>
        </w:rPr>
        <w:t xml:space="preserve">, relative progression probabilities </w:t>
      </w:r>
      <w:r>
        <w:rPr/>
      </w:r>
      <m:oMath xmlns:m="http://schemas.openxmlformats.org/officeDocument/2006/math">
        <m:sSub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N</m:t>
                </m:r>
              </m:e>
            </m:d>
          </m:sub>
        </m:sSub>
      </m:oMath>
      <w:r>
        <w:rPr>
          <w:sz w:val="20"/>
          <w:szCs w:val="20"/>
        </w:rPr>
        <w:t xml:space="preserve"> are calculated using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N</m:t>
                </m:r>
              </m:e>
            </m:d>
          </m:sub>
        </m:sSub>
      </m:oMath>
      <w:r>
        <w:rPr>
          <w:rFonts w:eastAsia="Cambria Math" w:cs="Cambria Math" w:ascii="Cambria Math" w:hAnsi="Cambria Math"/>
          <w:sz w:val="20"/>
          <w:szCs w:val="20"/>
        </w:rPr>
        <w:t xml:space="preserve"> </w:t>
      </w:r>
      <w:r>
        <w:rPr>
          <w:sz w:val="20"/>
          <w:szCs w:val="20"/>
        </w:rPr>
        <w:t xml:space="preserve">and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N</m:t>
                </m:r>
              </m:e>
            </m:d>
          </m:sub>
        </m:sSub>
      </m:oMath>
      <w:r>
        <w:rPr>
          <w:rFonts w:eastAsia="Cambria Math" w:cs="Cambria Math" w:ascii="Cambria Math" w:hAnsi="Cambria Math"/>
          <w:sz w:val="20"/>
          <w:szCs w:val="20"/>
        </w:rPr>
        <w:t xml:space="preserve"> </w:t>
      </w:r>
      <w:r>
        <w:rPr>
          <w:sz w:val="20"/>
          <w:szCs w:val="20"/>
        </w:rPr>
        <w:t>as outlined in Methods. 95% CI obtained by bootstrapping (1,000 iterations).</w:t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hd w:fill="FFFFFF" w:val="clear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hd w:val="clear" w:fill="FFFFFF"/>
    </w:pPr>
    <w:rPr>
      <w:b/>
      <w:sz w:val="26"/>
      <w:szCs w:val="2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/>
      <w:i/>
      <w:color w:val="434343"/>
      <w:sz w:val="24"/>
      <w:szCs w:val="24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36"/>
      <w:szCs w:val="36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Normal1">
    <w:name w:val="LO-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perpile.com/c/CN9ksY/Ikxpy" TargetMode="External"/><Relationship Id="rId3" Type="http://schemas.openxmlformats.org/officeDocument/2006/relationships/hyperlink" Target="https://paperpile.com/c/CN9ksY/irCC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LibreOffice/6.4.7.2$Linux_X86_64 LibreOffice_project/40$Build-2</Application>
  <Pages>1</Pages>
  <Words>241</Words>
  <Characters>1204</Characters>
  <CharactersWithSpaces>1301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2025-09-26T22:39:32Z</dcterms:modified>
  <cp:revision>7</cp:revision>
  <dc:subject/>
  <dc:title/>
</cp:coreProperties>
</file>