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hd w:fill="FFFFFF" w:val="clear"/>
        <w:jc w:val="both"/>
        <w:rPr>
          <w:sz w:val="20"/>
          <w:szCs w:val="20"/>
        </w:rPr>
      </w:pPr>
      <w:r>
        <w:rPr>
          <w:sz w:val="22"/>
          <w:szCs w:val="22"/>
        </w:rPr>
        <w:t>Supplementary Table 7. Non-Wnt Canonical drivers</w:t>
      </w:r>
    </w:p>
    <w:p>
      <w:pPr>
        <w:pStyle w:val="Normal1"/>
        <w:rPr/>
      </w:pPr>
      <w:r>
        <w:rPr/>
      </w:r>
    </w:p>
    <w:tbl>
      <w:tblPr>
        <w:tblStyle w:val="Table8"/>
        <w:tblW w:w="9000" w:type="dxa"/>
        <w:jc w:val="left"/>
        <w:tblInd w:w="0" w:type="dxa"/>
        <w:tblCellMar>
          <w:top w:w="100" w:type="dxa"/>
          <w:left w:w="100" w:type="dxa"/>
          <w:bottom w:w="100" w:type="dxa"/>
          <w:right w:w="100" w:type="dxa"/>
        </w:tblCellMar>
        <w:tblLook w:val="0600"/>
      </w:tblPr>
      <w:tblGrid>
        <w:gridCol w:w="3000"/>
        <w:gridCol w:w="2730"/>
        <w:gridCol w:w="3270"/>
      </w:tblGrid>
      <w:tr>
        <w:trPr>
          <w:trHeight w:val="420" w:hRule="atLeast"/>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Cohort</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 of 20AARs with maximal progression probability (95% CI)</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Progression-weighted mean # 20AARs</w:t>
            </w:r>
          </w:p>
        </w:tc>
      </w:tr>
      <w:tr>
        <w:trPr>
          <w:trHeight w:val="420" w:hRule="atLeast"/>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TP53 driver absent (n=275)</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 [2, 2]</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highlight w:val="white"/>
              </w:rPr>
            </w:pPr>
            <w:r>
              <w:rPr>
                <w:sz w:val="20"/>
                <w:szCs w:val="20"/>
                <w:highlight w:val="white"/>
              </w:rPr>
              <w:t>2.908, [2.305, 3.467]</w:t>
            </w:r>
          </w:p>
          <w:p>
            <w:pPr>
              <w:pStyle w:val="Normal1"/>
              <w:widowControl w:val="false"/>
              <w:spacing w:lineRule="auto" w:line="240"/>
              <w:rPr>
                <w:sz w:val="20"/>
                <w:szCs w:val="20"/>
              </w:rPr>
            </w:pPr>
            <w:r>
              <w:rPr>
                <w:sz w:val="20"/>
                <w:szCs w:val="20"/>
              </w:rPr>
            </w:r>
          </w:p>
        </w:tc>
      </w:tr>
      <w:tr>
        <w:trPr>
          <w:trHeight w:val="683" w:hRule="atLeast"/>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TP53 driver present (n=772)</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 [2, 2]</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 xml:space="preserve">2.104, [1.902, 2.339] </w:t>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KRAS driver absent (n=549)</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1, [1, 3]</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highlight w:val="white"/>
              </w:rPr>
            </w:pPr>
            <w:r>
              <w:rPr>
                <w:sz w:val="20"/>
                <w:szCs w:val="20"/>
                <w:highlight w:val="white"/>
              </w:rPr>
              <w:t>2.777, [2.270, 3.297]</w:t>
            </w:r>
          </w:p>
          <w:p>
            <w:pPr>
              <w:pStyle w:val="Normal1"/>
              <w:widowControl w:val="false"/>
              <w:spacing w:lineRule="auto" w:line="240"/>
              <w:rPr>
                <w:sz w:val="20"/>
                <w:szCs w:val="20"/>
              </w:rPr>
            </w:pPr>
            <w:r>
              <w:rPr>
                <w:sz w:val="20"/>
                <w:szCs w:val="20"/>
              </w:rPr>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KRAS driver present (n=498)</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 [2, 2]</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 xml:space="preserve">2.065, [1.97, 2.169] </w:t>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PIK3CA driver absent (n=848)</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 [1, 2]</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highlight w:val="white"/>
              </w:rPr>
            </w:pPr>
            <w:r>
              <w:rPr>
                <w:sz w:val="20"/>
                <w:szCs w:val="20"/>
                <w:highlight w:val="white"/>
              </w:rPr>
              <w:t>2.34, [2.036, 2.689]</w:t>
            </w:r>
          </w:p>
          <w:p>
            <w:pPr>
              <w:pStyle w:val="Normal1"/>
              <w:widowControl w:val="false"/>
              <w:spacing w:lineRule="auto" w:line="240"/>
              <w:rPr>
                <w:sz w:val="20"/>
                <w:szCs w:val="20"/>
              </w:rPr>
            </w:pPr>
            <w:r>
              <w:rPr>
                <w:sz w:val="20"/>
                <w:szCs w:val="20"/>
              </w:rPr>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PIK3CA driver present (n=199)</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 [2, 2]</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2.671, [2.105, 3.342]</w:t>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SMAD4 driver absent (n=961)</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 [2, 2]</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highlight w:val="white"/>
              </w:rPr>
            </w:pPr>
            <w:r>
              <w:rPr>
                <w:sz w:val="20"/>
                <w:szCs w:val="20"/>
                <w:highlight w:val="white"/>
              </w:rPr>
              <w:t>2.37, [2.048, 2.721]</w:t>
            </w:r>
          </w:p>
          <w:p>
            <w:pPr>
              <w:pStyle w:val="Normal1"/>
              <w:widowControl w:val="false"/>
              <w:spacing w:lineRule="auto" w:line="240"/>
              <w:rPr>
                <w:sz w:val="20"/>
                <w:szCs w:val="20"/>
              </w:rPr>
            </w:pPr>
            <w:r>
              <w:rPr>
                <w:sz w:val="20"/>
                <w:szCs w:val="20"/>
              </w:rPr>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SMAD4 driver present (n=86)</w:t>
            </w:r>
          </w:p>
        </w:tc>
        <w:tc>
          <w:tcPr>
            <w:tcW w:w="273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 [2, 5]</w:t>
            </w:r>
          </w:p>
        </w:tc>
        <w:tc>
          <w:tcPr>
            <w:tcW w:w="32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0"/>
                <w:szCs w:val="20"/>
              </w:rPr>
            </w:pPr>
            <w:r>
              <w:rPr>
                <w:sz w:val="20"/>
                <w:szCs w:val="20"/>
              </w:rPr>
              <w:t>2.661, [2.091, 3.174]</w:t>
            </w:r>
          </w:p>
        </w:tc>
      </w:tr>
    </w:tbl>
    <w:p>
      <w:pPr>
        <w:pStyle w:val="Normal1"/>
        <w:jc w:val="both"/>
        <w:rPr>
          <w:i/>
          <w:i/>
          <w:sz w:val="20"/>
          <w:szCs w:val="20"/>
        </w:rPr>
      </w:pPr>
      <w:r>
        <w:rPr>
          <w:i/>
          <w:sz w:val="20"/>
          <w:szCs w:val="20"/>
        </w:rPr>
      </w:r>
    </w:p>
    <w:p>
      <w:pPr>
        <w:pStyle w:val="Normal1"/>
        <w:jc w:val="both"/>
        <w:rPr>
          <w:sz w:val="20"/>
          <w:szCs w:val="20"/>
        </w:rPr>
      </w:pPr>
      <w:r>
        <w:rPr>
          <w:i/>
          <w:sz w:val="20"/>
          <w:szCs w:val="20"/>
        </w:rPr>
        <w:t>Supplementary Table 7.</w:t>
      </w:r>
      <w:r>
        <w:rPr>
          <w:sz w:val="20"/>
          <w:szCs w:val="20"/>
        </w:rPr>
        <w:t xml:space="preserve"> Within MSS CRC samples with biallelic APC inactivation in 100kGP (n=1,047), for cohorts with and without driver mutations on canonical MSS drivers, we report the number of 20AARs with maximal progression probability (corresponding to the mode of the progression probability distribution) and the progression weighted mean number of 20AARs (defined in Methods M2), with the corresponding 95% confidence intervals, obtained by bootstrapping. The canonical drivers were chosen to be those with pathogenic mutations in &gt;9% of MSS CRCs in 100kGP (TP53, KRAS, PIK3CA and SMAD4), where the driver calling was performed by </w:t>
      </w:r>
      <w:hyperlink r:id="rId2">
        <w:r>
          <w:rPr>
            <w:b w:val="false"/>
            <w:color w:val="000000"/>
            <w:sz w:val="20"/>
            <w:szCs w:val="20"/>
            <w:u w:val="none"/>
          </w:rPr>
          <w:t>[2]</w:t>
        </w:r>
      </w:hyperlink>
      <w:r>
        <w:rPr>
          <w:sz w:val="20"/>
          <w:szCs w:val="20"/>
        </w:rPr>
        <w:t>. In all cases, regardless of whether the driver is present or not, we find that 2 20AARs are within the 95% confidence interval for the mode, and the progression weighted mean is between 2 and 3. Hence we reject the “maximal APC loss implies maximal risk” (0 is not within) and the “uniform risk hypothesis”. This suggests that the “just-right” effect is robust to the presence / absence of the aforementioned drivers.</w:t>
      </w:r>
    </w:p>
    <w:p>
      <w:pPr>
        <w:pStyle w:val="Heading2"/>
        <w:shd w:fill="FFFFFF" w:val="clear"/>
        <w:jc w:val="both"/>
        <w:rPr>
          <w:sz w:val="22"/>
          <w:szCs w:val="22"/>
        </w:rPr>
      </w:pPr>
      <w:r>
        <w:rPr>
          <w:sz w:val="22"/>
          <w:szCs w:val="22"/>
        </w:rPr>
      </w:r>
    </w:p>
    <w:p>
      <w:pPr>
        <w:pStyle w:val="Heading2"/>
        <w:shd w:fill="FFFFFF" w:val="clear"/>
        <w:jc w:val="both"/>
        <w:rPr>
          <w:sz w:val="22"/>
          <w:szCs w:val="22"/>
        </w:rPr>
      </w:pPr>
      <w:r>
        <w:rPr>
          <w:sz w:val="22"/>
          <w:szCs w:val="22"/>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shd w:val="clear" w:fill="FFFFFF"/>
    </w:pPr>
    <w:rPr>
      <w:b/>
      <w:color w:val="4471C4"/>
      <w:sz w:val="28"/>
      <w:szCs w:val="28"/>
    </w:rPr>
  </w:style>
  <w:style w:type="paragraph" w:styleId="Heading2">
    <w:name w:val="Heading 2"/>
    <w:basedOn w:val="LOnormal"/>
    <w:next w:val="LOnormal"/>
    <w:qFormat/>
    <w:pPr>
      <w:keepNext w:val="true"/>
      <w:keepLines/>
      <w:shd w:val="clear" w:fill="FFFFFF"/>
    </w:pPr>
    <w:rPr>
      <w:b/>
      <w:sz w:val="26"/>
      <w:szCs w:val="26"/>
    </w:rPr>
  </w:style>
  <w:style w:type="paragraph" w:styleId="Heading3">
    <w:name w:val="Heading 3"/>
    <w:basedOn w:val="LOnormal"/>
    <w:next w:val="LOnormal"/>
    <w:qFormat/>
    <w:pPr>
      <w:keepNext w:val="true"/>
      <w:keepLines/>
      <w:spacing w:lineRule="auto" w:line="240" w:before="320" w:after="80"/>
    </w:pPr>
    <w:rPr>
      <w:b/>
      <w:i/>
      <w:color w:val="434343"/>
      <w:sz w:val="24"/>
      <w:szCs w:val="24"/>
    </w:rPr>
  </w:style>
  <w:style w:type="paragraph" w:styleId="Heading4">
    <w:name w:val="Heading 4"/>
    <w:basedOn w:val="LOnormal"/>
    <w:next w:val="LOnormal"/>
    <w:qFormat/>
    <w:pPr>
      <w:keepNext w:val="true"/>
      <w:keepLines/>
      <w:spacing w:lineRule="auto" w:line="240" w:before="280" w:after="80"/>
    </w:pPr>
    <w:rPr>
      <w:color w:val="666666"/>
      <w:sz w:val="24"/>
      <w:szCs w:val="24"/>
    </w:rPr>
  </w:style>
  <w:style w:type="paragraph" w:styleId="Heading5">
    <w:name w:val="Heading 5"/>
    <w:basedOn w:val="LOnormal"/>
    <w:next w:val="LOnormal"/>
    <w:qFormat/>
    <w:pPr>
      <w:keepNext w:val="true"/>
      <w:keepLines/>
      <w:spacing w:lineRule="auto" w:line="240" w:before="240" w:after="80"/>
    </w:pPr>
    <w:rPr>
      <w:color w:val="666666"/>
    </w:rPr>
  </w:style>
  <w:style w:type="paragraph" w:styleId="Heading6">
    <w:name w:val="Heading 6"/>
    <w:basedOn w:val="LOnormal"/>
    <w:next w:val="LOnormal"/>
    <w:qFormat/>
    <w:pPr>
      <w:keepNext w:val="true"/>
      <w:keepLines/>
      <w:spacing w:lineRule="auto" w:line="240" w:before="240" w:after="80"/>
    </w:pPr>
    <w:rPr>
      <w:i/>
      <w:color w:val="666666"/>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hd w:val="clear" w:fill="FFFFFF"/>
    </w:pPr>
    <w:rPr>
      <w:b/>
      <w:color w:val="4471C4"/>
      <w:sz w:val="36"/>
      <w:szCs w:val="36"/>
    </w:rPr>
  </w:style>
  <w:style w:type="paragraph" w:styleId="Subtitle">
    <w:name w:val="Subtitle"/>
    <w:basedOn w:val="LOnormal"/>
    <w:next w:val="LOnormal"/>
    <w:qFormat/>
    <w:pPr>
      <w:keepNext w:val="true"/>
      <w:keepLines/>
      <w:spacing w:lineRule="auto" w:line="240" w:before="0" w:after="320"/>
    </w:pPr>
    <w:rPr>
      <w:color w:val="666666"/>
      <w:sz w:val="30"/>
      <w:szCs w:val="30"/>
    </w:rPr>
  </w:style>
  <w:style w:type="paragraph" w:styleId="Normal1">
    <w:name w:val="LO-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perpile.com/c/CN9ksY/irCCg"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TotalTime>
  <Application>LibreOffice/6.4.7.2$Linux_X86_64 LibreOffice_project/40$Build-2</Application>
  <Pages>1</Pages>
  <Words>268</Words>
  <Characters>1420</Characters>
  <CharactersWithSpaces>1661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2025-09-26T22:39:46Z</dcterms:modified>
  <cp:revision>8</cp:revision>
  <dc:subject/>
  <dc:title/>
</cp:coreProperties>
</file>