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C529" w14:textId="77777777" w:rsidR="00BE3E6F" w:rsidRPr="00790F55" w:rsidRDefault="00000000" w:rsidP="00BE3E6F">
      <w:pPr>
        <w:spacing w:after="120"/>
        <w:jc w:val="center"/>
        <w:rPr>
          <w:rFonts w:ascii="Calibri" w:hAnsi="Calibri" w:cs="Calibri"/>
          <w:b/>
          <w:bCs/>
          <w:sz w:val="36"/>
          <w:szCs w:val="36"/>
        </w:rPr>
      </w:pPr>
      <w:r w:rsidRPr="00790F55">
        <w:rPr>
          <w:rFonts w:ascii="Calibri" w:hAnsi="Calibri" w:cs="Calibri"/>
          <w:b/>
          <w:bCs/>
          <w:sz w:val="36"/>
          <w:szCs w:val="36"/>
        </w:rPr>
        <w:t>MEETING NOTES</w:t>
      </w:r>
    </w:p>
    <w:p w14:paraId="0D4EA523" w14:textId="7E190EEE" w:rsidR="00346A68" w:rsidRPr="00790F55" w:rsidRDefault="00000000" w:rsidP="00BE3E6F">
      <w:pPr>
        <w:spacing w:after="120"/>
        <w:rPr>
          <w:rFonts w:ascii="Calibri" w:hAnsi="Calibri" w:cs="Calibri"/>
        </w:rPr>
      </w:pPr>
      <w:r w:rsidRPr="00790F55">
        <w:rPr>
          <w:rFonts w:ascii="Calibri" w:hAnsi="Calibri" w:cs="Calibri"/>
          <w:b/>
          <w:bCs/>
          <w:sz w:val="32"/>
          <w:szCs w:val="32"/>
        </w:rPr>
        <w:t>Project Overview &amp; Core Hypothesis</w:t>
      </w:r>
    </w:p>
    <w:p w14:paraId="1D21DE06" w14:textId="1B570EDE" w:rsidR="00346A68" w:rsidRPr="00790F55" w:rsidRDefault="00BE3E6F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P</w:t>
      </w:r>
      <w:r w:rsidR="00000000" w:rsidRPr="00790F55">
        <w:rPr>
          <w:rFonts w:ascii="Calibri" w:hAnsi="Calibri" w:cs="Calibri"/>
        </w:rPr>
        <w:t>rove two things</w:t>
      </w:r>
      <w:r w:rsidRPr="00790F55">
        <w:rPr>
          <w:rFonts w:ascii="Calibri" w:hAnsi="Calibri" w:cs="Calibri"/>
        </w:rPr>
        <w:t>:</w:t>
      </w:r>
    </w:p>
    <w:p w14:paraId="374F4966" w14:textId="6FAC9814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pks+ E. coli causes specific mutations - particularly at the APC gene splice site c.835-8A&gt;G (base 836 region).</w:t>
      </w:r>
    </w:p>
    <w:p w14:paraId="77BF90E3" w14:textId="4470718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Having a mutated APC gene leads to early-onset CRC</w:t>
      </w:r>
    </w:p>
    <w:p w14:paraId="0B265592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58AD7451" w14:textId="0F949E04" w:rsidR="00346A68" w:rsidRPr="00790F55" w:rsidRDefault="00BE3E6F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B</w:t>
      </w:r>
      <w:r w:rsidR="00000000" w:rsidRPr="00790F55">
        <w:rPr>
          <w:rFonts w:ascii="Calibri" w:hAnsi="Calibri" w:cs="Calibri"/>
        </w:rPr>
        <w:t>acteria to mutation, mutation to early CRC</w:t>
      </w:r>
      <w:r w:rsidRPr="00790F55">
        <w:rPr>
          <w:rFonts w:ascii="Calibri" w:hAnsi="Calibri" w:cs="Calibri"/>
        </w:rPr>
        <w:t>.</w:t>
      </w:r>
    </w:p>
    <w:p w14:paraId="62DDA743" w14:textId="60B5B024" w:rsidR="00346A68" w:rsidRPr="00790F55" w:rsidRDefault="00000000">
      <w:pPr>
        <w:pStyle w:val="Heading1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Biological Background</w:t>
      </w:r>
    </w:p>
    <w:p w14:paraId="6C66A3EE" w14:textId="61A11793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The Colibactin Mechanism</w:t>
      </w:r>
    </w:p>
    <w:p w14:paraId="38ABE58F" w14:textId="77777777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Colibactin is a genotoxin produced by pks+ E. coli strains carrying the pks pathogenicity island. It damages DNA directly, imprinting two characteristic mutational signatures in colorectal epithelium:</w:t>
      </w:r>
    </w:p>
    <w:p w14:paraId="359281C8" w14:textId="197834CF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SBS88 - a single base substitution signature dominated by T&gt;C changes, linked directly to colibactin exposure</w:t>
      </w:r>
      <w:r w:rsidR="00BE3E6F" w:rsidRPr="00790F55">
        <w:rPr>
          <w:rFonts w:ascii="Calibri" w:hAnsi="Calibri" w:cs="Calibri"/>
        </w:rPr>
        <w:t>.</w:t>
      </w:r>
    </w:p>
    <w:p w14:paraId="50899F89" w14:textId="08FBAFD7" w:rsidR="00346A68" w:rsidRPr="00790F55" w:rsidRDefault="00BE3E6F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(</w:t>
      </w:r>
      <w:r w:rsidR="00000000" w:rsidRPr="00790F55">
        <w:rPr>
          <w:rFonts w:ascii="Calibri" w:hAnsi="Calibri" w:cs="Calibri"/>
        </w:rPr>
        <w:t>ID18 - an insertion/deletion signature causing frameshifts, particularly harmful in coding sequences</w:t>
      </w:r>
      <w:r w:rsidRPr="00790F55">
        <w:rPr>
          <w:rFonts w:ascii="Calibri" w:hAnsi="Calibri" w:cs="Calibri"/>
        </w:rPr>
        <w:t>)</w:t>
      </w:r>
    </w:p>
    <w:p w14:paraId="552725E4" w14:textId="22F9B962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The APC Gene &amp; Colorectal Cancer</w:t>
      </w:r>
    </w:p>
    <w:p w14:paraId="59E57CC9" w14:textId="637AF979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APC is a tumour suppressor gene. Approximately 90% of CRC cases carry an APC mutation. The two-hit model applies:</w:t>
      </w:r>
    </w:p>
    <w:p w14:paraId="53F10682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One functional copy of APC is sufficient to suppress tumour growth.</w:t>
      </w:r>
    </w:p>
    <w:p w14:paraId="60937ABF" w14:textId="4AFD04C6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If one copy is lost</w:t>
      </w:r>
      <w:r w:rsidR="00BE3E6F" w:rsidRPr="00790F55">
        <w:rPr>
          <w:rFonts w:ascii="Calibri" w:hAnsi="Calibri" w:cs="Calibri"/>
        </w:rPr>
        <w:t xml:space="preserve">, </w:t>
      </w:r>
      <w:r w:rsidRPr="00790F55">
        <w:rPr>
          <w:rFonts w:ascii="Calibri" w:hAnsi="Calibri" w:cs="Calibri"/>
        </w:rPr>
        <w:t>a second hit to the remaining copy leads to cancer initiation.</w:t>
      </w:r>
    </w:p>
    <w:p w14:paraId="14D8E335" w14:textId="7466902C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Inheriting one mutated APC allele removes the need for the first hit - only one more loss needed.</w:t>
      </w:r>
    </w:p>
    <w:p w14:paraId="5F91185B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5C604C6C" w14:textId="77777777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The specific splice-site mutation c.835-8A&gt;G (ENST00000257430.4) was identified in the Diaz-Gay 2025 paper as being attributed to SBS88 in 64.3% of colibactin-exposed samples, versus only 3.9% in non-exposed cases. This makes it a strong candidate colibactin-driven APC driver mutation.</w:t>
      </w:r>
    </w:p>
    <w:p w14:paraId="7560C49E" w14:textId="0E86CA59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APC genotypes retaining 1-2 20AAR repeats have approximately 50x higher cancer progression probability than complete APC loss. This means the fitness of a particular APC truncation determines how likely it is to drive cancer, not just whether it occurred.</w:t>
      </w:r>
    </w:p>
    <w:p w14:paraId="712FFE67" w14:textId="77777777" w:rsidR="00BE3E6F" w:rsidRPr="00790F55" w:rsidRDefault="00BE3E6F">
      <w:pPr>
        <w:pStyle w:val="Heading2"/>
        <w:rPr>
          <w:rFonts w:ascii="Calibri" w:hAnsi="Calibri" w:cs="Calibri"/>
        </w:rPr>
      </w:pPr>
    </w:p>
    <w:p w14:paraId="109F478C" w14:textId="77777777" w:rsidR="00790F55" w:rsidRDefault="00790F55">
      <w:pPr>
        <w:pStyle w:val="Heading2"/>
        <w:rPr>
          <w:rFonts w:ascii="Calibri" w:hAnsi="Calibri" w:cs="Calibri"/>
        </w:rPr>
      </w:pPr>
    </w:p>
    <w:p w14:paraId="17470004" w14:textId="77777777" w:rsidR="00790F55" w:rsidRDefault="00790F55">
      <w:pPr>
        <w:pStyle w:val="Heading2"/>
        <w:rPr>
          <w:rFonts w:ascii="Calibri" w:hAnsi="Calibri" w:cs="Calibri"/>
        </w:rPr>
      </w:pPr>
    </w:p>
    <w:p w14:paraId="1B1A4BFB" w14:textId="77777777" w:rsidR="00790F55" w:rsidRDefault="00790F55">
      <w:pPr>
        <w:pStyle w:val="Heading2"/>
        <w:rPr>
          <w:rFonts w:ascii="Calibri" w:hAnsi="Calibri" w:cs="Calibri"/>
        </w:rPr>
      </w:pPr>
    </w:p>
    <w:p w14:paraId="1C63C521" w14:textId="19D853FA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lastRenderedPageBreak/>
        <w:t>Evidence Linking Colibactin to Early-Onset CRC</w:t>
      </w:r>
    </w:p>
    <w:p w14:paraId="3A8E53D6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SBS88 and ID18 are 3.3x more common in individuals diagnosed before age 40 than those over 70 (Diaz-Gay 2025).</w:t>
      </w:r>
    </w:p>
    <w:p w14:paraId="01331236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There is a statistically significant inverse trend between colibactin signature burden and age at diagnosis (P trend &lt; 0.0001).</w:t>
      </w:r>
    </w:p>
    <w:p w14:paraId="1F4E5073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ID18 is responsible for approximately 25% of APC driver indels in colibactin-positive tumours.</w:t>
      </w:r>
    </w:p>
    <w:p w14:paraId="1A71136A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Colibactin signatures are enriched in early clonal mutations - meaning the damage happened early in tumour evolution, consistent with early-life exposure.</w:t>
      </w:r>
    </w:p>
    <w:p w14:paraId="7F027AFF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No correlation between pks+ bacteria detected at biopsy and SBS88/ID18 - supporting the idea that bacteria caused damage early then disappeared.</w:t>
      </w:r>
    </w:p>
    <w:p w14:paraId="26C8C4AC" w14:textId="3845732D" w:rsidR="00346A68" w:rsidRPr="00790F55" w:rsidRDefault="00000000">
      <w:pPr>
        <w:pStyle w:val="Heading1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1 - Mutational Signature Simulation</w:t>
      </w:r>
    </w:p>
    <w:p w14:paraId="7F2DAF15" w14:textId="0C69CF60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The Core Model</w:t>
      </w:r>
    </w:p>
    <w:p w14:paraId="16A2A61A" w14:textId="77777777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We simulate what the mutational landscape looks like in two scenarios - an uninfected (normal) person and a colibactin-infected person - using the SBS signature profiles downloaded from the COSMIC Mutational Signatures database (https://cancer.sanger.ac.uk/signatures/sbs/).</w:t>
      </w:r>
    </w:p>
    <w:p w14:paraId="78CAF574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1D376452" w14:textId="1D754682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Each SBS signature gives a probability distribution over the 96 possible trinucleotide mutation contexts</w:t>
      </w:r>
      <w:r w:rsidR="00BE3E6F" w:rsidRPr="00790F55">
        <w:rPr>
          <w:rFonts w:ascii="Calibri" w:hAnsi="Calibri" w:cs="Calibri"/>
        </w:rPr>
        <w:t>. Can be read in python. Separated by commas</w:t>
      </w:r>
    </w:p>
    <w:p w14:paraId="711056F5" w14:textId="2641B0A5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Normal (Uninfected) Person</w:t>
      </w:r>
    </w:p>
    <w:p w14:paraId="1AE4E58C" w14:textId="77777777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The normal colon mutation profile is modelled as a weighted mixture of background SBS signatures. The supervisor confirmed the weights to start with are:</w:t>
      </w:r>
    </w:p>
    <w:p w14:paraId="5A46FF1A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0A519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58114" w14:textId="57D133BF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Normal model</w:t>
            </w:r>
            <w:r w:rsidR="00BE3E6F" w:rsidRPr="00790F55">
              <w:rPr>
                <w:rFonts w:ascii="Calibri" w:hAnsi="Calibri" w:cs="Calibri"/>
                <w:b/>
                <w:bCs/>
              </w:rPr>
              <w:t xml:space="preserve"> (</w:t>
            </w:r>
            <w:proofErr w:type="spellStart"/>
            <w:r w:rsidR="00BE3E6F" w:rsidRPr="00790F55">
              <w:rPr>
                <w:rFonts w:ascii="Calibri" w:hAnsi="Calibri" w:cs="Calibri"/>
                <w:b/>
                <w:bCs/>
              </w:rPr>
              <w:t>eg</w:t>
            </w:r>
            <w:proofErr w:type="spellEnd"/>
            <w:r w:rsidR="00BE3E6F" w:rsidRPr="00790F55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5C709" w14:textId="77777777" w:rsidR="00346A68" w:rsidRPr="00790F55" w:rsidRDefault="00000000">
            <w:pPr>
              <w:rPr>
                <w:rFonts w:ascii="Calibri" w:hAnsi="Calibri" w:cs="Calibri"/>
              </w:rPr>
            </w:pPr>
            <w:proofErr w:type="spellStart"/>
            <w:r w:rsidRPr="00790F55">
              <w:rPr>
                <w:rFonts w:ascii="Calibri" w:eastAsia="Courier New" w:hAnsi="Calibri" w:cs="Calibri"/>
              </w:rPr>
              <w:t>P_normal</w:t>
            </w:r>
            <w:proofErr w:type="spellEnd"/>
            <w:r w:rsidRPr="00790F55">
              <w:rPr>
                <w:rFonts w:ascii="Calibri" w:eastAsia="Courier New" w:hAnsi="Calibri" w:cs="Calibri"/>
              </w:rPr>
              <w:t>(mutation) = w_1 * SBS1 + w_5 * SBS5 + w_18 * SBS18</w:t>
            </w:r>
          </w:p>
        </w:tc>
      </w:tr>
    </w:tbl>
    <w:p w14:paraId="7833D24E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7717F9B6" w14:textId="338098E8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Starting weights</w:t>
      </w:r>
      <w:r w:rsidR="00BE3E6F" w:rsidRPr="00790F55">
        <w:rPr>
          <w:rFonts w:ascii="Calibri" w:hAnsi="Calibri" w:cs="Calibri"/>
        </w:rPr>
        <w:t xml:space="preserve"> from </w:t>
      </w:r>
      <w:proofErr w:type="spellStart"/>
      <w:r w:rsidR="00BE3E6F" w:rsidRPr="00790F55">
        <w:rPr>
          <w:rFonts w:ascii="Calibri" w:hAnsi="Calibri" w:cs="Calibri"/>
        </w:rPr>
        <w:t>Xell’s</w:t>
      </w:r>
      <w:proofErr w:type="spellEnd"/>
      <w:r w:rsidR="00BE3E6F" w:rsidRPr="00790F55">
        <w:rPr>
          <w:rFonts w:ascii="Calibri" w:hAnsi="Calibri" w:cs="Calibri"/>
        </w:rPr>
        <w:t xml:space="preserve"> email:</w:t>
      </w:r>
    </w:p>
    <w:p w14:paraId="6DD3B33A" w14:textId="7249B52D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SBS1 weight: 0.</w:t>
      </w:r>
      <w:r w:rsidR="00BE3E6F" w:rsidRPr="00790F55">
        <w:rPr>
          <w:rFonts w:ascii="Calibri" w:hAnsi="Calibri" w:cs="Calibri"/>
        </w:rPr>
        <w:t>4</w:t>
      </w:r>
    </w:p>
    <w:p w14:paraId="6D8F9880" w14:textId="09C3996B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SBS5 weight: 0.4 </w:t>
      </w:r>
    </w:p>
    <w:p w14:paraId="38DA5E03" w14:textId="52CDCE48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SBS18 weight: 0.2 </w:t>
      </w:r>
    </w:p>
    <w:p w14:paraId="2C556824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6388F8C1" w14:textId="5294BD28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These weights (w_1, w_5, w_18) sum to 1 and define the probability distribution over mutation contexts for a normal colon. We can also extend this to include other cancer-relevant SBS signatures by adding more terms to the sum. The general form is:</w:t>
      </w:r>
    </w:p>
    <w:p w14:paraId="18BBEF7D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7B1C8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F4D0C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General normal 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BBFDF" w14:textId="77777777" w:rsidR="00346A68" w:rsidRPr="00790F55" w:rsidRDefault="00000000">
            <w:pPr>
              <w:rPr>
                <w:rFonts w:ascii="Calibri" w:hAnsi="Calibri" w:cs="Calibri"/>
              </w:rPr>
            </w:pPr>
            <w:proofErr w:type="spellStart"/>
            <w:r w:rsidRPr="00790F55">
              <w:rPr>
                <w:rFonts w:ascii="Calibri" w:eastAsia="Courier New" w:hAnsi="Calibri" w:cs="Calibri"/>
              </w:rPr>
              <w:t>P_normal</w:t>
            </w:r>
            <w:proofErr w:type="spellEnd"/>
            <w:r w:rsidRPr="00790F55">
              <w:rPr>
                <w:rFonts w:ascii="Calibri" w:eastAsia="Courier New" w:hAnsi="Calibri" w:cs="Calibri"/>
              </w:rPr>
              <w:t xml:space="preserve"> = sum_{</w:t>
            </w:r>
            <w:proofErr w:type="spellStart"/>
            <w:r w:rsidRPr="00790F55">
              <w:rPr>
                <w:rFonts w:ascii="Calibri" w:eastAsia="Courier New" w:hAnsi="Calibri" w:cs="Calibri"/>
              </w:rPr>
              <w:t>i</w:t>
            </w:r>
            <w:proofErr w:type="spellEnd"/>
            <w:r w:rsidRPr="00790F55">
              <w:rPr>
                <w:rFonts w:ascii="Calibri" w:eastAsia="Courier New" w:hAnsi="Calibri" w:cs="Calibri"/>
              </w:rPr>
              <w:t>=</w:t>
            </w:r>
            <w:proofErr w:type="gramStart"/>
            <w:r w:rsidRPr="00790F55">
              <w:rPr>
                <w:rFonts w:ascii="Calibri" w:eastAsia="Courier New" w:hAnsi="Calibri" w:cs="Calibri"/>
              </w:rPr>
              <w:t>1}^</w:t>
            </w:r>
            <w:proofErr w:type="gramEnd"/>
            <w:r w:rsidRPr="00790F55">
              <w:rPr>
                <w:rFonts w:ascii="Calibri" w:eastAsia="Courier New" w:hAnsi="Calibri" w:cs="Calibri"/>
              </w:rPr>
              <w:t xml:space="preserve">{K} </w:t>
            </w:r>
            <w:proofErr w:type="spellStart"/>
            <w:r w:rsidRPr="00790F55">
              <w:rPr>
                <w:rFonts w:ascii="Calibri" w:eastAsia="Courier New" w:hAnsi="Calibri" w:cs="Calibri"/>
              </w:rPr>
              <w:t>w_i</w:t>
            </w:r>
            <w:proofErr w:type="spellEnd"/>
            <w:r w:rsidRPr="00790F55">
              <w:rPr>
                <w:rFonts w:ascii="Calibri" w:eastAsia="Courier New" w:hAnsi="Calibri" w:cs="Calibri"/>
              </w:rPr>
              <w:t xml:space="preserve"> * </w:t>
            </w:r>
            <w:proofErr w:type="spellStart"/>
            <w:r w:rsidRPr="00790F55">
              <w:rPr>
                <w:rFonts w:ascii="Calibri" w:eastAsia="Courier New" w:hAnsi="Calibri" w:cs="Calibri"/>
              </w:rPr>
              <w:t>SBS_i</w:t>
            </w:r>
            <w:proofErr w:type="spellEnd"/>
            <w:r w:rsidRPr="00790F55">
              <w:rPr>
                <w:rFonts w:ascii="Calibri" w:eastAsia="Courier New" w:hAnsi="Calibri" w:cs="Calibri"/>
              </w:rPr>
              <w:t xml:space="preserve">   where   sum </w:t>
            </w:r>
            <w:proofErr w:type="spellStart"/>
            <w:r w:rsidRPr="00790F55">
              <w:rPr>
                <w:rFonts w:ascii="Calibri" w:eastAsia="Courier New" w:hAnsi="Calibri" w:cs="Calibri"/>
              </w:rPr>
              <w:t>w_i</w:t>
            </w:r>
            <w:proofErr w:type="spellEnd"/>
            <w:r w:rsidRPr="00790F55">
              <w:rPr>
                <w:rFonts w:ascii="Calibri" w:eastAsia="Courier New" w:hAnsi="Calibri" w:cs="Calibri"/>
              </w:rPr>
              <w:t xml:space="preserve"> = 1</w:t>
            </w:r>
          </w:p>
        </w:tc>
      </w:tr>
    </w:tbl>
    <w:p w14:paraId="4FBBCD7E" w14:textId="77777777" w:rsidR="00BE3E6F" w:rsidRPr="00790F55" w:rsidRDefault="00BE3E6F">
      <w:pPr>
        <w:pStyle w:val="Heading2"/>
        <w:rPr>
          <w:rFonts w:ascii="Calibri" w:hAnsi="Calibri" w:cs="Calibri"/>
        </w:rPr>
      </w:pPr>
    </w:p>
    <w:p w14:paraId="62539903" w14:textId="77777777" w:rsidR="00BE3E6F" w:rsidRPr="00790F55" w:rsidRDefault="00BE3E6F">
      <w:pPr>
        <w:pStyle w:val="Heading2"/>
        <w:rPr>
          <w:rFonts w:ascii="Calibri" w:hAnsi="Calibri" w:cs="Calibri"/>
        </w:rPr>
      </w:pPr>
    </w:p>
    <w:p w14:paraId="7E8FA928" w14:textId="4684392F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Infected Person</w:t>
      </w:r>
    </w:p>
    <w:p w14:paraId="68596993" w14:textId="6891BDD2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The infected person is modelled as a mixture where SBS88 is present with a weighting controlled by a parameter alpha:</w:t>
      </w:r>
    </w:p>
    <w:p w14:paraId="49342AF5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463D4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0CAD3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Infected 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1E7FB" w14:textId="77777777" w:rsidR="00346A68" w:rsidRPr="00790F55" w:rsidRDefault="00000000">
            <w:pPr>
              <w:rPr>
                <w:rFonts w:ascii="Calibri" w:hAnsi="Calibri" w:cs="Calibri"/>
              </w:rPr>
            </w:pPr>
            <w:proofErr w:type="spellStart"/>
            <w:r w:rsidRPr="00790F55">
              <w:rPr>
                <w:rFonts w:ascii="Calibri" w:eastAsia="Courier New" w:hAnsi="Calibri" w:cs="Calibri"/>
              </w:rPr>
              <w:t>P_infected</w:t>
            </w:r>
            <w:proofErr w:type="spellEnd"/>
            <w:r w:rsidRPr="00790F55">
              <w:rPr>
                <w:rFonts w:ascii="Calibri" w:eastAsia="Courier New" w:hAnsi="Calibri" w:cs="Calibri"/>
              </w:rPr>
              <w:t xml:space="preserve"> = alpha * SBS88 + (1 - alpha) * sum_{</w:t>
            </w:r>
            <w:proofErr w:type="spellStart"/>
            <w:r w:rsidRPr="00790F55">
              <w:rPr>
                <w:rFonts w:ascii="Calibri" w:eastAsia="Courier New" w:hAnsi="Calibri" w:cs="Calibri"/>
              </w:rPr>
              <w:t>i</w:t>
            </w:r>
            <w:proofErr w:type="spellEnd"/>
            <w:r w:rsidRPr="00790F55">
              <w:rPr>
                <w:rFonts w:ascii="Calibri" w:eastAsia="Courier New" w:hAnsi="Calibri" w:cs="Calibri"/>
              </w:rPr>
              <w:t>=</w:t>
            </w:r>
            <w:proofErr w:type="gramStart"/>
            <w:r w:rsidRPr="00790F55">
              <w:rPr>
                <w:rFonts w:ascii="Calibri" w:eastAsia="Courier New" w:hAnsi="Calibri" w:cs="Calibri"/>
              </w:rPr>
              <w:t>1}^</w:t>
            </w:r>
            <w:proofErr w:type="gramEnd"/>
            <w:r w:rsidRPr="00790F55">
              <w:rPr>
                <w:rFonts w:ascii="Calibri" w:eastAsia="Courier New" w:hAnsi="Calibri" w:cs="Calibri"/>
              </w:rPr>
              <w:t xml:space="preserve">{K} </w:t>
            </w:r>
            <w:proofErr w:type="spellStart"/>
            <w:r w:rsidRPr="00790F55">
              <w:rPr>
                <w:rFonts w:ascii="Calibri" w:eastAsia="Courier New" w:hAnsi="Calibri" w:cs="Calibri"/>
              </w:rPr>
              <w:t>w_i</w:t>
            </w:r>
            <w:proofErr w:type="spellEnd"/>
            <w:r w:rsidRPr="00790F55">
              <w:rPr>
                <w:rFonts w:ascii="Calibri" w:eastAsia="Courier New" w:hAnsi="Calibri" w:cs="Calibri"/>
              </w:rPr>
              <w:t xml:space="preserve"> * </w:t>
            </w:r>
            <w:proofErr w:type="spellStart"/>
            <w:r w:rsidRPr="00790F55">
              <w:rPr>
                <w:rFonts w:ascii="Calibri" w:eastAsia="Courier New" w:hAnsi="Calibri" w:cs="Calibri"/>
              </w:rPr>
              <w:t>SBS_i</w:t>
            </w:r>
            <w:proofErr w:type="spellEnd"/>
          </w:p>
        </w:tc>
      </w:tr>
    </w:tbl>
    <w:p w14:paraId="38EF73FF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5541BE73" w14:textId="77777777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Here:</w:t>
      </w:r>
    </w:p>
    <w:p w14:paraId="56342030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alpha controls the strength/exposure of the colibactin signal. Higher alpha = more dominant colibactin mutagenesis.</w:t>
      </w:r>
    </w:p>
    <w:p w14:paraId="28C3A62F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(1 - alpha) multiplies the same normal background mixture described above.</w:t>
      </w:r>
    </w:p>
    <w:p w14:paraId="74CB1D42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The sum of all weights still equals 1 - this is a valid probability distribution over mutation contexts.</w:t>
      </w:r>
    </w:p>
    <w:p w14:paraId="2F2E520E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1F0EBE47" w14:textId="64A5B858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We </w:t>
      </w:r>
      <w:r w:rsidR="00BE3E6F" w:rsidRPr="00790F55">
        <w:rPr>
          <w:rFonts w:ascii="Calibri" w:hAnsi="Calibri" w:cs="Calibri"/>
        </w:rPr>
        <w:t>need and will</w:t>
      </w:r>
      <w:r w:rsidRPr="00790F55">
        <w:rPr>
          <w:rFonts w:ascii="Calibri" w:hAnsi="Calibri" w:cs="Calibri"/>
        </w:rPr>
        <w:t xml:space="preserve"> run simulations by sampling mutations from these distributions. For a given number of mutations N (or using estimated rates), we draw mutations according to either </w:t>
      </w:r>
      <w:proofErr w:type="spellStart"/>
      <w:r w:rsidRPr="00790F55">
        <w:rPr>
          <w:rFonts w:ascii="Calibri" w:hAnsi="Calibri" w:cs="Calibri"/>
        </w:rPr>
        <w:t>P_normal</w:t>
      </w:r>
      <w:proofErr w:type="spellEnd"/>
      <w:r w:rsidRPr="00790F55">
        <w:rPr>
          <w:rFonts w:ascii="Calibri" w:hAnsi="Calibri" w:cs="Calibri"/>
        </w:rPr>
        <w:t xml:space="preserve"> or </w:t>
      </w:r>
      <w:proofErr w:type="spellStart"/>
      <w:r w:rsidRPr="00790F55">
        <w:rPr>
          <w:rFonts w:ascii="Calibri" w:hAnsi="Calibri" w:cs="Calibri"/>
        </w:rPr>
        <w:t>P_infected</w:t>
      </w:r>
      <w:proofErr w:type="spellEnd"/>
      <w:r w:rsidRPr="00790F55">
        <w:rPr>
          <w:rFonts w:ascii="Calibri" w:hAnsi="Calibri" w:cs="Calibri"/>
        </w:rPr>
        <w:t xml:space="preserve"> and ask: what is the probability that a mutation falls in the APC c.835-8A&gt;G position?</w:t>
      </w:r>
    </w:p>
    <w:p w14:paraId="13A65F72" w14:textId="51C5F377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Varying Alpha</w:t>
      </w:r>
    </w:p>
    <w:p w14:paraId="70A84DFC" w14:textId="49C1FDC0" w:rsidR="00346A68" w:rsidRPr="00790F55" w:rsidRDefault="00BE3E6F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V</w:t>
      </w:r>
      <w:r w:rsidR="00000000" w:rsidRPr="00790F55">
        <w:rPr>
          <w:rFonts w:ascii="Calibri" w:hAnsi="Calibri" w:cs="Calibri"/>
        </w:rPr>
        <w:t>ary alpha across a range (e.g. 0.0 to 1.0 in steps of 0.05) and plot how the probability of hitting the APC splice site of interest changes. This gives a sensitivity curve: how much colibactin exposure is required to substantially increase the probability of this specific APC mutation</w:t>
      </w:r>
      <w:r w:rsidRPr="00790F55">
        <w:rPr>
          <w:rFonts w:ascii="Calibri" w:hAnsi="Calibri" w:cs="Calibri"/>
        </w:rPr>
        <w:t>, is a significant question that need to be answered from first meeting</w:t>
      </w:r>
      <w:r w:rsidR="00000000" w:rsidRPr="00790F55">
        <w:rPr>
          <w:rFonts w:ascii="Calibri" w:hAnsi="Calibri" w:cs="Calibri"/>
        </w:rPr>
        <w:t>?</w:t>
      </w:r>
    </w:p>
    <w:p w14:paraId="03C4B7E2" w14:textId="733BCCFE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Reference Genome</w:t>
      </w:r>
    </w:p>
    <w:p w14:paraId="2CCF0BFB" w14:textId="64715DAF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The GRCh38 reference genome will be used. This is important because mutation context calculations require knowing the flanking bases, which come from the reference genome. </w:t>
      </w:r>
    </w:p>
    <w:p w14:paraId="34E761F4" w14:textId="6C23EEC5" w:rsidR="00346A68" w:rsidRPr="00790F55" w:rsidRDefault="00000000">
      <w:pPr>
        <w:pStyle w:val="Heading1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2 - TCGA Data Analysis (APC Mutation &amp; Age)</w:t>
      </w:r>
    </w:p>
    <w:p w14:paraId="2BA598DF" w14:textId="4FBE6E88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Dataset</w:t>
      </w:r>
    </w:p>
    <w:p w14:paraId="0AE66494" w14:textId="174CB92C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The TCGA CRC mutation data. Key columns available include:</w:t>
      </w:r>
    </w:p>
    <w:p w14:paraId="43AD32C5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Gene, Sample ID, Cancer Type Detailed (colon vs rectal adenocarcinoma)</w:t>
      </w:r>
    </w:p>
    <w:p w14:paraId="66818176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Mutation Type, Variant Type, </w:t>
      </w:r>
      <w:proofErr w:type="spellStart"/>
      <w:r w:rsidRPr="00790F55">
        <w:rPr>
          <w:rFonts w:ascii="Calibri" w:hAnsi="Calibri" w:cs="Calibri"/>
        </w:rPr>
        <w:t>HGVSc</w:t>
      </w:r>
      <w:proofErr w:type="spellEnd"/>
      <w:r w:rsidRPr="00790F55">
        <w:rPr>
          <w:rFonts w:ascii="Calibri" w:hAnsi="Calibri" w:cs="Calibri"/>
        </w:rPr>
        <w:t xml:space="preserve"> (the specific coding change)</w:t>
      </w:r>
    </w:p>
    <w:p w14:paraId="11507A2A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Diagnosis Age, Age at Diagnosis, Age </w:t>
      </w:r>
      <w:proofErr w:type="gramStart"/>
      <w:r w:rsidRPr="00790F55">
        <w:rPr>
          <w:rFonts w:ascii="Calibri" w:hAnsi="Calibri" w:cs="Calibri"/>
        </w:rPr>
        <w:t>At</w:t>
      </w:r>
      <w:proofErr w:type="gramEnd"/>
      <w:r w:rsidRPr="00790F55">
        <w:rPr>
          <w:rFonts w:ascii="Calibri" w:hAnsi="Calibri" w:cs="Calibri"/>
        </w:rPr>
        <w:t xml:space="preserve"> Diagnosis (multiple columns - need to reconcile during cleaning)</w:t>
      </w:r>
    </w:p>
    <w:p w14:paraId="576B5F1E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MS (microsatellite stability status)</w:t>
      </w:r>
    </w:p>
    <w:p w14:paraId="4D2CF523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Protein Change, Functional Impact</w:t>
      </w:r>
    </w:p>
    <w:p w14:paraId="50C5277D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3688D634" w14:textId="77777777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lastRenderedPageBreak/>
        <w:t xml:space="preserve">The mutation of primary interest is identified by setting </w:t>
      </w:r>
      <w:proofErr w:type="spellStart"/>
      <w:r w:rsidRPr="00790F55">
        <w:rPr>
          <w:rFonts w:ascii="Calibri" w:hAnsi="Calibri" w:cs="Calibri"/>
        </w:rPr>
        <w:t>HGVSc</w:t>
      </w:r>
      <w:proofErr w:type="spellEnd"/>
      <w:r w:rsidRPr="00790F55">
        <w:rPr>
          <w:rFonts w:ascii="Calibri" w:hAnsi="Calibri" w:cs="Calibri"/>
        </w:rPr>
        <w:t xml:space="preserve"> = ENST00000257430.</w:t>
      </w:r>
      <w:proofErr w:type="gramStart"/>
      <w:r w:rsidRPr="00790F55">
        <w:rPr>
          <w:rFonts w:ascii="Calibri" w:hAnsi="Calibri" w:cs="Calibri"/>
        </w:rPr>
        <w:t>4:c.</w:t>
      </w:r>
      <w:proofErr w:type="gramEnd"/>
      <w:r w:rsidRPr="00790F55">
        <w:rPr>
          <w:rFonts w:ascii="Calibri" w:hAnsi="Calibri" w:cs="Calibri"/>
        </w:rPr>
        <w:t>835-8A&gt;G, the specific colibactin-enriched APC splice site mutation.</w:t>
      </w:r>
    </w:p>
    <w:p w14:paraId="3A8E6308" w14:textId="01D824EB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Data Cleaning Tasks</w:t>
      </w:r>
      <w:r w:rsidR="00BE3E6F" w:rsidRPr="00790F55">
        <w:rPr>
          <w:rFonts w:ascii="Calibri" w:hAnsi="Calibri" w:cs="Calibri"/>
          <w:color w:val="auto"/>
        </w:rPr>
        <w:t xml:space="preserve"> (Abby and Fred)</w:t>
      </w:r>
    </w:p>
    <w:p w14:paraId="0379F118" w14:textId="77777777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Before analysis, the data needs to be cleaned:</w:t>
      </w:r>
    </w:p>
    <w:p w14:paraId="7822C842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Reconcile duplicate age columns (Diagnosis Age, Age at Diagnosis, Age </w:t>
      </w:r>
      <w:proofErr w:type="gramStart"/>
      <w:r w:rsidRPr="00790F55">
        <w:rPr>
          <w:rFonts w:ascii="Calibri" w:hAnsi="Calibri" w:cs="Calibri"/>
        </w:rPr>
        <w:t>At</w:t>
      </w:r>
      <w:proofErr w:type="gramEnd"/>
      <w:r w:rsidRPr="00790F55">
        <w:rPr>
          <w:rFonts w:ascii="Calibri" w:hAnsi="Calibri" w:cs="Calibri"/>
        </w:rPr>
        <w:t xml:space="preserve"> Diagnosis, Age </w:t>
      </w:r>
      <w:proofErr w:type="gramStart"/>
      <w:r w:rsidRPr="00790F55">
        <w:rPr>
          <w:rFonts w:ascii="Calibri" w:hAnsi="Calibri" w:cs="Calibri"/>
        </w:rPr>
        <w:t>At</w:t>
      </w:r>
      <w:proofErr w:type="gramEnd"/>
      <w:r w:rsidRPr="00790F55">
        <w:rPr>
          <w:rFonts w:ascii="Calibri" w:hAnsi="Calibri" w:cs="Calibri"/>
        </w:rPr>
        <w:t xml:space="preserve"> Diagnosis) - decide on a single source or average where consistent.</w:t>
      </w:r>
    </w:p>
    <w:p w14:paraId="69698210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Remove duplicate rows (same sample appearing across multiple TCGA study versions - Firehose Legacy, </w:t>
      </w:r>
      <w:proofErr w:type="spellStart"/>
      <w:r w:rsidRPr="00790F55">
        <w:rPr>
          <w:rFonts w:ascii="Calibri" w:hAnsi="Calibri" w:cs="Calibri"/>
        </w:rPr>
        <w:t>PanCancer</w:t>
      </w:r>
      <w:proofErr w:type="spellEnd"/>
      <w:r w:rsidRPr="00790F55">
        <w:rPr>
          <w:rFonts w:ascii="Calibri" w:hAnsi="Calibri" w:cs="Calibri"/>
        </w:rPr>
        <w:t xml:space="preserve"> Atlas, Nature 2012).</w:t>
      </w:r>
    </w:p>
    <w:p w14:paraId="0FAF83D8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Filter to microsatellite-stable (MSS) tumours only, consistent with the Diaz-Gay 2025 analysis, as MSI tumours have different mutational processes.</w:t>
      </w:r>
    </w:p>
    <w:p w14:paraId="5B61BBC0" w14:textId="5C0D079D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Classify patients as early-onset at diagnosis.</w:t>
      </w:r>
    </w:p>
    <w:p w14:paraId="4F6C9D20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Flag the specific c.835-8A&gt;G mutation for targeted analysis.</w:t>
      </w:r>
    </w:p>
    <w:p w14:paraId="14D4AF71" w14:textId="670FF768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Analysis Goals</w:t>
      </w:r>
    </w:p>
    <w:p w14:paraId="3E5B3B39" w14:textId="5F8BE9FD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Once cleaned, </w:t>
      </w:r>
      <w:r w:rsidR="00BE3E6F" w:rsidRPr="00790F55">
        <w:rPr>
          <w:rFonts w:ascii="Calibri" w:hAnsi="Calibri" w:cs="Calibri"/>
        </w:rPr>
        <w:t>potential aims are</w:t>
      </w:r>
      <w:r w:rsidRPr="00790F55">
        <w:rPr>
          <w:rFonts w:ascii="Calibri" w:hAnsi="Calibri" w:cs="Calibri"/>
        </w:rPr>
        <w:t>:</w:t>
      </w:r>
    </w:p>
    <w:p w14:paraId="4CFBC3E3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Describe the age distribution of APC mutation carriers.</w:t>
      </w:r>
    </w:p>
    <w:p w14:paraId="7196AE8F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Test whether c.835-8A&gt;G carriers are younger at diagnosis than patients with other APC mutations.</w:t>
      </w:r>
    </w:p>
    <w:p w14:paraId="3CB38EA6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Examine whether mutation type (indel vs substitution) differs between early and late onset cases, consistent with ID18 vs SBS88 contributions.</w:t>
      </w:r>
    </w:p>
    <w:p w14:paraId="4F7442F5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Visualise mutation spectra across age groups.</w:t>
      </w:r>
    </w:p>
    <w:p w14:paraId="4B84FE2B" w14:textId="59357F5F" w:rsidR="00346A68" w:rsidRPr="00790F55" w:rsidRDefault="00000000">
      <w:pPr>
        <w:pStyle w:val="Heading1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3 - Statistical/Causal Modelling</w:t>
      </w:r>
    </w:p>
    <w:p w14:paraId="21D24739" w14:textId="3450D0E1" w:rsidR="00346A68" w:rsidRPr="00790F55" w:rsidRDefault="00000000">
      <w:pPr>
        <w:pStyle w:val="Heading2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Modelling Approach (to be developed)</w:t>
      </w:r>
      <w:r w:rsidR="00790F55">
        <w:rPr>
          <w:rFonts w:ascii="Calibri" w:hAnsi="Calibri" w:cs="Calibri"/>
          <w:color w:val="auto"/>
        </w:rPr>
        <w:t xml:space="preserve"> I researched into others that the papers use other than Bayesian; however, I like Fred’s suggestion of Bayesian and want to learn more.</w:t>
      </w:r>
    </w:p>
    <w:p w14:paraId="1B0324D5" w14:textId="77777777" w:rsidR="00346A68" w:rsidRPr="00790F55" w:rsidRDefault="00000000">
      <w:pPr>
        <w:spacing w:before="60" w:after="60"/>
        <w:rPr>
          <w:rFonts w:ascii="Calibri" w:hAnsi="Calibri" w:cs="Calibri"/>
        </w:rPr>
      </w:pPr>
      <w:r w:rsidRPr="00790F55">
        <w:rPr>
          <w:rFonts w:ascii="Calibri" w:hAnsi="Calibri" w:cs="Calibri"/>
        </w:rPr>
        <w:t>Possible approaches discussed include:</w:t>
      </w:r>
    </w:p>
    <w:p w14:paraId="62A8D206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 xml:space="preserve">Probabilistic/Bayesian framework - model </w:t>
      </w:r>
      <w:proofErr w:type="gramStart"/>
      <w:r w:rsidRPr="00790F55">
        <w:rPr>
          <w:rFonts w:ascii="Calibri" w:hAnsi="Calibri" w:cs="Calibri"/>
        </w:rPr>
        <w:t>P(</w:t>
      </w:r>
      <w:proofErr w:type="gramEnd"/>
      <w:r w:rsidRPr="00790F55">
        <w:rPr>
          <w:rFonts w:ascii="Calibri" w:hAnsi="Calibri" w:cs="Calibri"/>
        </w:rPr>
        <w:t xml:space="preserve">early CRC | APC mutation type) and </w:t>
      </w:r>
      <w:proofErr w:type="gramStart"/>
      <w:r w:rsidRPr="00790F55">
        <w:rPr>
          <w:rFonts w:ascii="Calibri" w:hAnsi="Calibri" w:cs="Calibri"/>
        </w:rPr>
        <w:t>P(</w:t>
      </w:r>
      <w:proofErr w:type="gramEnd"/>
      <w:r w:rsidRPr="00790F55">
        <w:rPr>
          <w:rFonts w:ascii="Calibri" w:hAnsi="Calibri" w:cs="Calibri"/>
        </w:rPr>
        <w:t>APC mutation | colibactin signature present).</w:t>
      </w:r>
    </w:p>
    <w:p w14:paraId="018E176F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Logistic regression - predict early-onset status from mutation features (mutation type, colibactin signature presence).</w:t>
      </w:r>
    </w:p>
    <w:p w14:paraId="4325BC57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Stochastic simulation (from Paper 3 framework) - simulate the two-hit APC inactivation process under infected vs normal mutation distributions and estimate time to first hit, then time to second hit.</w:t>
      </w:r>
    </w:p>
    <w:p w14:paraId="19B7263B" w14:textId="77777777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</w:rPr>
        <w:t>Survival analysis - model age at diagnosis as the outcome, with APC mutation type and colibactin exposure as covariates.</w:t>
      </w:r>
    </w:p>
    <w:p w14:paraId="22427576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p w14:paraId="12E6BA8A" w14:textId="77777777" w:rsidR="00BE3E6F" w:rsidRPr="00790F55" w:rsidRDefault="00BE3E6F">
      <w:pPr>
        <w:pStyle w:val="Heading1"/>
        <w:rPr>
          <w:rFonts w:ascii="Calibri" w:hAnsi="Calibri" w:cs="Calibri"/>
        </w:rPr>
      </w:pPr>
    </w:p>
    <w:p w14:paraId="114A1B38" w14:textId="77777777" w:rsidR="00BE3E6F" w:rsidRPr="00790F55" w:rsidRDefault="00BE3E6F">
      <w:pPr>
        <w:pStyle w:val="Heading1"/>
        <w:rPr>
          <w:rFonts w:ascii="Calibri" w:hAnsi="Calibri" w:cs="Calibri"/>
        </w:rPr>
      </w:pPr>
    </w:p>
    <w:p w14:paraId="738D5D67" w14:textId="42297CFD" w:rsidR="00346A68" w:rsidRPr="00790F55" w:rsidRDefault="00000000">
      <w:pPr>
        <w:pStyle w:val="Heading1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6. Key Parameters &amp; Values fr</w:t>
      </w:r>
      <w:r w:rsidR="00790F55" w:rsidRPr="00790F55">
        <w:rPr>
          <w:rFonts w:ascii="Calibri" w:hAnsi="Calibri" w:cs="Calibri"/>
          <w:color w:val="auto"/>
        </w:rPr>
        <w:t xml:space="preserve">om </w:t>
      </w:r>
      <w:proofErr w:type="spellStart"/>
      <w:r w:rsidR="00790F55" w:rsidRPr="00790F55">
        <w:rPr>
          <w:rFonts w:ascii="Calibri" w:hAnsi="Calibri" w:cs="Calibri"/>
          <w:color w:val="auto"/>
        </w:rPr>
        <w:t>Xell</w:t>
      </w:r>
      <w:proofErr w:type="spellEnd"/>
    </w:p>
    <w:p w14:paraId="11452B83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1EA5BB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2F411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SBS1 weight (normal colon)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A01D8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eastAsia="Courier New" w:hAnsi="Calibri" w:cs="Calibri"/>
              </w:rPr>
              <w:t>w_1 = 0.4</w:t>
            </w:r>
          </w:p>
        </w:tc>
      </w:tr>
    </w:tbl>
    <w:p w14:paraId="570C4802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1B2BF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34773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SBS5 weight (normal colon)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8CEA3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eastAsia="Courier New" w:hAnsi="Calibri" w:cs="Calibri"/>
              </w:rPr>
              <w:t>w_5 = 0.4</w:t>
            </w:r>
          </w:p>
        </w:tc>
      </w:tr>
    </w:tbl>
    <w:p w14:paraId="01C0492D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14BE4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3F506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SBS18 weight (normal colon)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BD16F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eastAsia="Courier New" w:hAnsi="Calibri" w:cs="Calibri"/>
              </w:rPr>
              <w:t>w_18 = 0.2</w:t>
            </w:r>
          </w:p>
        </w:tc>
      </w:tr>
    </w:tbl>
    <w:p w14:paraId="6309D926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4810D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C818A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Colibactin alpha range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252D7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eastAsia="Courier New" w:hAnsi="Calibri" w:cs="Calibri"/>
              </w:rPr>
              <w:t>alpha in [0, 1</w:t>
            </w:r>
            <w:proofErr w:type="gramStart"/>
            <w:r w:rsidRPr="00790F55">
              <w:rPr>
                <w:rFonts w:ascii="Calibri" w:eastAsia="Courier New" w:hAnsi="Calibri" w:cs="Calibri"/>
              </w:rPr>
              <w:t>]  (</w:t>
            </w:r>
            <w:proofErr w:type="gramEnd"/>
            <w:r w:rsidRPr="00790F55">
              <w:rPr>
                <w:rFonts w:ascii="Calibri" w:eastAsia="Courier New" w:hAnsi="Calibri" w:cs="Calibri"/>
              </w:rPr>
              <w:t>to be varied in experiments)</w:t>
            </w:r>
          </w:p>
        </w:tc>
      </w:tr>
    </w:tbl>
    <w:p w14:paraId="48D88FD6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252D0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2EB65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APC mutation rate (Paper 3)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D55AF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eastAsia="Courier New" w:hAnsi="Calibri" w:cs="Calibri"/>
              </w:rPr>
              <w:t>~6.22 x 10^-6 per cell per year</w:t>
            </w:r>
          </w:p>
        </w:tc>
      </w:tr>
    </w:tbl>
    <w:p w14:paraId="4C388F2F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77C92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9D571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Key APC mutation of interest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E21F3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eastAsia="Courier New" w:hAnsi="Calibri" w:cs="Calibri"/>
              </w:rPr>
              <w:t>ENST00000257430.</w:t>
            </w:r>
            <w:proofErr w:type="gramStart"/>
            <w:r w:rsidRPr="00790F55">
              <w:rPr>
                <w:rFonts w:ascii="Calibri" w:eastAsia="Courier New" w:hAnsi="Calibri" w:cs="Calibri"/>
              </w:rPr>
              <w:t>4:c.</w:t>
            </w:r>
            <w:proofErr w:type="gramEnd"/>
            <w:r w:rsidRPr="00790F55">
              <w:rPr>
                <w:rFonts w:ascii="Calibri" w:eastAsia="Courier New" w:hAnsi="Calibri" w:cs="Calibri"/>
              </w:rPr>
              <w:t>835-8A&gt;G</w:t>
            </w:r>
          </w:p>
        </w:tc>
      </w:tr>
    </w:tbl>
    <w:p w14:paraId="48FD893B" w14:textId="77777777" w:rsidR="00346A68" w:rsidRPr="00790F55" w:rsidRDefault="00346A68">
      <w:pPr>
        <w:spacing w:before="40" w:after="4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6A68" w:rsidRPr="00790F55" w14:paraId="5CBC81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686D5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hAnsi="Calibri" w:cs="Calibri"/>
                <w:b/>
                <w:bCs/>
              </w:rPr>
              <w:t>Reference genome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F7085" w14:textId="77777777" w:rsidR="00346A68" w:rsidRPr="00790F55" w:rsidRDefault="00000000">
            <w:pPr>
              <w:rPr>
                <w:rFonts w:ascii="Calibri" w:hAnsi="Calibri" w:cs="Calibri"/>
              </w:rPr>
            </w:pPr>
            <w:r w:rsidRPr="00790F55">
              <w:rPr>
                <w:rFonts w:ascii="Calibri" w:eastAsia="Courier New" w:hAnsi="Calibri" w:cs="Calibri"/>
              </w:rPr>
              <w:t>GRCh38</w:t>
            </w:r>
          </w:p>
        </w:tc>
      </w:tr>
    </w:tbl>
    <w:p w14:paraId="0BFE202C" w14:textId="07587B8F" w:rsidR="00346A68" w:rsidRPr="00790F55" w:rsidRDefault="00000000">
      <w:pPr>
        <w:pStyle w:val="Heading1"/>
        <w:rPr>
          <w:rFonts w:ascii="Calibri" w:hAnsi="Calibri" w:cs="Calibri"/>
          <w:color w:val="auto"/>
        </w:rPr>
      </w:pPr>
      <w:r w:rsidRPr="00790F55">
        <w:rPr>
          <w:rFonts w:ascii="Calibri" w:hAnsi="Calibri" w:cs="Calibri"/>
          <w:color w:val="auto"/>
        </w:rPr>
        <w:t>Next Steps</w:t>
      </w:r>
    </w:p>
    <w:p w14:paraId="2F24E94A" w14:textId="6C728FFD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  <w:b/>
          <w:bCs/>
        </w:rPr>
        <w:t>Download SBS profiles from COSMIC, set up Python environment with pandas, implement normal and infected mixture distributions, run simulations varying alpha and compute probability of c.835-8A&gt;G mutation</w:t>
      </w:r>
      <w:r w:rsidR="00790F55" w:rsidRPr="00790F55">
        <w:rPr>
          <w:rFonts w:ascii="Calibri" w:hAnsi="Calibri" w:cs="Calibri"/>
          <w:b/>
          <w:bCs/>
        </w:rPr>
        <w:t xml:space="preserve"> 1 Fred and Abby</w:t>
      </w:r>
    </w:p>
    <w:p w14:paraId="3616834A" w14:textId="59CCFF35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  <w:b/>
          <w:bCs/>
        </w:rPr>
        <w:t>Load TCGA data, reconcile age columns, deduplicate samples, filter to MSS, classify early vs late onset, isolate c.835-8A&gt;G cases</w:t>
      </w:r>
      <w:r w:rsidR="00790F55" w:rsidRPr="00790F55">
        <w:rPr>
          <w:rFonts w:ascii="Calibri" w:hAnsi="Calibri" w:cs="Calibri"/>
          <w:b/>
          <w:bCs/>
        </w:rPr>
        <w:t xml:space="preserve"> </w:t>
      </w:r>
      <w:r w:rsidRPr="00790F55">
        <w:rPr>
          <w:rFonts w:ascii="Calibri" w:hAnsi="Calibri" w:cs="Calibri"/>
        </w:rPr>
        <w:t>2</w:t>
      </w:r>
      <w:r w:rsidR="00790F55" w:rsidRPr="00790F55">
        <w:rPr>
          <w:rFonts w:ascii="Calibri" w:hAnsi="Calibri" w:cs="Calibri"/>
        </w:rPr>
        <w:t xml:space="preserve"> Liang and Adele</w:t>
      </w:r>
    </w:p>
    <w:p w14:paraId="18B78BB2" w14:textId="5C704D88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  <w:b/>
          <w:bCs/>
        </w:rPr>
        <w:t>Plot age distributions, compare early vs late onset APC mutation patterns, tabulate mutation types</w:t>
      </w:r>
      <w:r w:rsidR="00790F55" w:rsidRPr="00790F55">
        <w:rPr>
          <w:rFonts w:ascii="Calibri" w:hAnsi="Calibri" w:cs="Calibri"/>
          <w:b/>
          <w:bCs/>
        </w:rPr>
        <w:t>.????</w:t>
      </w:r>
      <w:r w:rsidRPr="00790F55">
        <w:rPr>
          <w:rFonts w:ascii="Calibri" w:hAnsi="Calibri" w:cs="Calibri"/>
          <w:b/>
          <w:bCs/>
        </w:rPr>
        <w:t xml:space="preserve"> </w:t>
      </w:r>
      <w:r w:rsidRPr="00790F55">
        <w:rPr>
          <w:rFonts w:ascii="Calibri" w:hAnsi="Calibri" w:cs="Calibri"/>
        </w:rPr>
        <w:t>Exploratory analysis</w:t>
      </w:r>
    </w:p>
    <w:p w14:paraId="5476EF06" w14:textId="5D7B2B35" w:rsidR="00346A68" w:rsidRPr="00790F55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790F55">
        <w:rPr>
          <w:rFonts w:ascii="Calibri" w:hAnsi="Calibri" w:cs="Calibri"/>
          <w:b/>
          <w:bCs/>
        </w:rPr>
        <w:t>Decide on statistical approach for linking stages 1 and 2. Begin reading on survival analysis or Bayesian approaches as candidate methods</w:t>
      </w:r>
      <w:r w:rsidR="00790F55" w:rsidRPr="00790F55">
        <w:rPr>
          <w:rFonts w:ascii="Calibri" w:hAnsi="Calibri" w:cs="Calibri"/>
          <w:b/>
          <w:bCs/>
        </w:rPr>
        <w:t xml:space="preserve"> BAYESIAN SEEMS POPULAR</w:t>
      </w:r>
    </w:p>
    <w:p w14:paraId="30B2225E" w14:textId="24D94B2F" w:rsidR="00346A68" w:rsidRDefault="00000000" w:rsidP="00790F55">
      <w:pPr>
        <w:pStyle w:val="ListParagraph"/>
        <w:numPr>
          <w:ilvl w:val="0"/>
          <w:numId w:val="2"/>
        </w:numPr>
        <w:spacing w:before="40" w:after="40"/>
      </w:pPr>
      <w:r w:rsidRPr="00790F55">
        <w:rPr>
          <w:rFonts w:ascii="Calibri" w:hAnsi="Calibri" w:cs="Calibri"/>
          <w:b/>
          <w:bCs/>
        </w:rPr>
        <w:t>Confirm threshold for defining colibactin-positive in our data (SBS88 alone, ID18 alone, or either), confirm whether we will receive any VCF/signature decomposition data beyond the TCGA table</w:t>
      </w:r>
      <w:r w:rsidR="00790F55">
        <w:rPr>
          <w:b/>
          <w:bCs/>
        </w:rPr>
        <w:t xml:space="preserve"> </w:t>
      </w:r>
      <w:r>
        <w:t>Questions for next meet</w:t>
      </w:r>
    </w:p>
    <w:sectPr w:rsidR="00346A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0CF2"/>
    <w:multiLevelType w:val="hybridMultilevel"/>
    <w:tmpl w:val="B992B1A2"/>
    <w:lvl w:ilvl="0" w:tplc="2CB463F8">
      <w:start w:val="1"/>
      <w:numFmt w:val="bullet"/>
      <w:lvlText w:val="•"/>
      <w:lvlJc w:val="left"/>
      <w:pPr>
        <w:ind w:left="720" w:hanging="360"/>
      </w:pPr>
    </w:lvl>
    <w:lvl w:ilvl="1" w:tplc="AE626326">
      <w:numFmt w:val="decimal"/>
      <w:lvlText w:val=""/>
      <w:lvlJc w:val="left"/>
    </w:lvl>
    <w:lvl w:ilvl="2" w:tplc="2D6034C0">
      <w:numFmt w:val="decimal"/>
      <w:lvlText w:val=""/>
      <w:lvlJc w:val="left"/>
    </w:lvl>
    <w:lvl w:ilvl="3" w:tplc="336051FE">
      <w:numFmt w:val="decimal"/>
      <w:lvlText w:val=""/>
      <w:lvlJc w:val="left"/>
    </w:lvl>
    <w:lvl w:ilvl="4" w:tplc="D97AD494">
      <w:numFmt w:val="decimal"/>
      <w:lvlText w:val=""/>
      <w:lvlJc w:val="left"/>
    </w:lvl>
    <w:lvl w:ilvl="5" w:tplc="D382CE3E">
      <w:numFmt w:val="decimal"/>
      <w:lvlText w:val=""/>
      <w:lvlJc w:val="left"/>
    </w:lvl>
    <w:lvl w:ilvl="6" w:tplc="B270E06A">
      <w:numFmt w:val="decimal"/>
      <w:lvlText w:val=""/>
      <w:lvlJc w:val="left"/>
    </w:lvl>
    <w:lvl w:ilvl="7" w:tplc="D5C6CD86">
      <w:numFmt w:val="decimal"/>
      <w:lvlText w:val=""/>
      <w:lvlJc w:val="left"/>
    </w:lvl>
    <w:lvl w:ilvl="8" w:tplc="372013B2">
      <w:numFmt w:val="decimal"/>
      <w:lvlText w:val=""/>
      <w:lvlJc w:val="left"/>
    </w:lvl>
  </w:abstractNum>
  <w:abstractNum w:abstractNumId="1" w15:restartNumberingAfterBreak="0">
    <w:nsid w:val="51323862"/>
    <w:multiLevelType w:val="hybridMultilevel"/>
    <w:tmpl w:val="9848A4AE"/>
    <w:lvl w:ilvl="0" w:tplc="33D01CC0">
      <w:start w:val="1"/>
      <w:numFmt w:val="bullet"/>
      <w:lvlText w:val=""/>
      <w:lvlJc w:val="left"/>
      <w:pPr>
        <w:ind w:left="360" w:hanging="180"/>
      </w:pPr>
    </w:lvl>
    <w:lvl w:ilvl="1" w:tplc="5F281A0E">
      <w:start w:val="1"/>
      <w:numFmt w:val="bullet"/>
      <w:lvlText w:val="◦"/>
      <w:lvlJc w:val="left"/>
      <w:pPr>
        <w:ind w:left="1080" w:hanging="360"/>
      </w:pPr>
    </w:lvl>
    <w:lvl w:ilvl="2" w:tplc="DA56D7F6">
      <w:numFmt w:val="decimal"/>
      <w:lvlText w:val=""/>
      <w:lvlJc w:val="left"/>
    </w:lvl>
    <w:lvl w:ilvl="3" w:tplc="9F48372A">
      <w:numFmt w:val="decimal"/>
      <w:lvlText w:val=""/>
      <w:lvlJc w:val="left"/>
    </w:lvl>
    <w:lvl w:ilvl="4" w:tplc="D34CCA12">
      <w:numFmt w:val="decimal"/>
      <w:lvlText w:val=""/>
      <w:lvlJc w:val="left"/>
    </w:lvl>
    <w:lvl w:ilvl="5" w:tplc="AC384D88">
      <w:numFmt w:val="decimal"/>
      <w:lvlText w:val=""/>
      <w:lvlJc w:val="left"/>
    </w:lvl>
    <w:lvl w:ilvl="6" w:tplc="E25EC850">
      <w:numFmt w:val="decimal"/>
      <w:lvlText w:val=""/>
      <w:lvlJc w:val="left"/>
    </w:lvl>
    <w:lvl w:ilvl="7" w:tplc="524C894C">
      <w:numFmt w:val="decimal"/>
      <w:lvlText w:val=""/>
      <w:lvlJc w:val="left"/>
    </w:lvl>
    <w:lvl w:ilvl="8" w:tplc="9D369580">
      <w:numFmt w:val="decimal"/>
      <w:lvlText w:val=""/>
      <w:lvlJc w:val="left"/>
    </w:lvl>
  </w:abstractNum>
  <w:abstractNum w:abstractNumId="2" w15:restartNumberingAfterBreak="0">
    <w:nsid w:val="71686249"/>
    <w:multiLevelType w:val="hybridMultilevel"/>
    <w:tmpl w:val="87C62766"/>
    <w:lvl w:ilvl="0" w:tplc="EB5E39EE">
      <w:start w:val="1"/>
      <w:numFmt w:val="bullet"/>
      <w:lvlText w:val="●"/>
      <w:lvlJc w:val="left"/>
      <w:pPr>
        <w:ind w:left="720" w:hanging="360"/>
      </w:pPr>
    </w:lvl>
    <w:lvl w:ilvl="1" w:tplc="AA4C8F06">
      <w:start w:val="1"/>
      <w:numFmt w:val="bullet"/>
      <w:lvlText w:val="○"/>
      <w:lvlJc w:val="left"/>
      <w:pPr>
        <w:ind w:left="1440" w:hanging="360"/>
      </w:pPr>
    </w:lvl>
    <w:lvl w:ilvl="2" w:tplc="68CCFA9A">
      <w:start w:val="1"/>
      <w:numFmt w:val="bullet"/>
      <w:lvlText w:val="■"/>
      <w:lvlJc w:val="left"/>
      <w:pPr>
        <w:ind w:left="2160" w:hanging="360"/>
      </w:pPr>
    </w:lvl>
    <w:lvl w:ilvl="3" w:tplc="69EC0FA8">
      <w:start w:val="1"/>
      <w:numFmt w:val="bullet"/>
      <w:lvlText w:val="●"/>
      <w:lvlJc w:val="left"/>
      <w:pPr>
        <w:ind w:left="2880" w:hanging="360"/>
      </w:pPr>
    </w:lvl>
    <w:lvl w:ilvl="4" w:tplc="1E26F4C8">
      <w:start w:val="1"/>
      <w:numFmt w:val="bullet"/>
      <w:lvlText w:val="○"/>
      <w:lvlJc w:val="left"/>
      <w:pPr>
        <w:ind w:left="3600" w:hanging="360"/>
      </w:pPr>
    </w:lvl>
    <w:lvl w:ilvl="5" w:tplc="5074CD42">
      <w:start w:val="1"/>
      <w:numFmt w:val="bullet"/>
      <w:lvlText w:val="■"/>
      <w:lvlJc w:val="left"/>
      <w:pPr>
        <w:ind w:left="4320" w:hanging="360"/>
      </w:pPr>
    </w:lvl>
    <w:lvl w:ilvl="6" w:tplc="E8BAA444">
      <w:start w:val="1"/>
      <w:numFmt w:val="bullet"/>
      <w:lvlText w:val="●"/>
      <w:lvlJc w:val="left"/>
      <w:pPr>
        <w:ind w:left="5040" w:hanging="360"/>
      </w:pPr>
    </w:lvl>
    <w:lvl w:ilvl="7" w:tplc="72B85ED2">
      <w:start w:val="1"/>
      <w:numFmt w:val="bullet"/>
      <w:lvlText w:val="●"/>
      <w:lvlJc w:val="left"/>
      <w:pPr>
        <w:ind w:left="5760" w:hanging="360"/>
      </w:pPr>
    </w:lvl>
    <w:lvl w:ilvl="8" w:tplc="0068E380">
      <w:start w:val="1"/>
      <w:numFmt w:val="bullet"/>
      <w:lvlText w:val="●"/>
      <w:lvlJc w:val="left"/>
      <w:pPr>
        <w:ind w:left="6480" w:hanging="360"/>
      </w:pPr>
    </w:lvl>
  </w:abstractNum>
  <w:num w:numId="1" w16cid:durableId="584731096">
    <w:abstractNumId w:val="2"/>
    <w:lvlOverride w:ilvl="0">
      <w:startOverride w:val="1"/>
    </w:lvlOverride>
  </w:num>
  <w:num w:numId="2" w16cid:durableId="1490905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A68"/>
    <w:rsid w:val="00072AE5"/>
    <w:rsid w:val="00346A68"/>
    <w:rsid w:val="00790F55"/>
    <w:rsid w:val="00B30EC7"/>
    <w:rsid w:val="00B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F2A0"/>
  <w15:docId w15:val="{AC7EF130-D11C-4AB9-9AEA-A8965016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Adele White</cp:lastModifiedBy>
  <cp:revision>2</cp:revision>
  <dcterms:created xsi:type="dcterms:W3CDTF">2026-03-01T09:44:00Z</dcterms:created>
  <dcterms:modified xsi:type="dcterms:W3CDTF">2026-03-01T09:44:00Z</dcterms:modified>
</cp:coreProperties>
</file>