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Open Sans" w:eastAsia="Times New Roman" w:hAnsi="Open Sans" w:cs="Open Sans"/>
          <w:b/>
          <w:bCs/>
          <w:kern w:val="0"/>
          <w:sz w:val="24"/>
          <w:szCs w:val="24"/>
          <w:lang w:eastAsia="en-GB"/>
          <w14:ligatures w14:val="none"/>
        </w:rPr>
        <w:id w:val="-266931179"/>
        <w:docPartObj>
          <w:docPartGallery w:val="Cover Pages"/>
          <w:docPartUnique/>
        </w:docPartObj>
      </w:sdtPr>
      <w:sdtContent>
        <w:p w14:paraId="0C628ABE" w14:textId="77777777" w:rsidR="006E6F20" w:rsidRPr="006E6F20" w:rsidRDefault="006E6F20" w:rsidP="003515E1">
          <w:pPr>
            <w:rPr>
              <w:rFonts w:ascii="Open Sans" w:eastAsia="Times New Roman" w:hAnsi="Open Sans" w:cs="Open Sans"/>
              <w:b/>
              <w:bCs/>
              <w:kern w:val="0"/>
              <w:sz w:val="56"/>
              <w:szCs w:val="56"/>
              <w:lang w:eastAsia="en-GB"/>
              <w14:ligatures w14:val="none"/>
            </w:rPr>
          </w:pPr>
          <w:r w:rsidRPr="006E6F20">
            <w:rPr>
              <w:rFonts w:ascii="Open Sans" w:eastAsia="Times New Roman" w:hAnsi="Open Sans" w:cs="Open Sans"/>
              <w:b/>
              <w:bCs/>
              <w:kern w:val="0"/>
              <w:sz w:val="56"/>
              <w:szCs w:val="56"/>
              <w:lang w:eastAsia="en-GB"/>
              <w14:ligatures w14:val="none"/>
            </w:rPr>
            <w:t>DATA SECURITY POLICY</w:t>
          </w:r>
        </w:p>
        <w:p w14:paraId="5D3E497A" w14:textId="3B7157A4" w:rsidR="003515E1" w:rsidRDefault="006E6F20" w:rsidP="003515E1">
          <w:pPr>
            <w:rPr>
              <w:rFonts w:ascii="Open Sans" w:eastAsia="Times New Roman" w:hAnsi="Open Sans" w:cs="Open Sans"/>
              <w:b/>
              <w:bCs/>
              <w:kern w:val="0"/>
              <w:sz w:val="24"/>
              <w:szCs w:val="24"/>
              <w:lang w:eastAsia="en-GB"/>
              <w14:ligatures w14:val="none"/>
            </w:rPr>
          </w:pPr>
          <w:r w:rsidRPr="001D0745">
            <w:rPr>
              <w:rFonts w:ascii="Open Sans" w:hAnsi="Open Sans" w:cs="Open Sans"/>
              <w:b/>
              <w:bCs/>
              <w:noProof/>
              <w:sz w:val="24"/>
              <w:szCs w:val="24"/>
            </w:rPr>
            <w:drawing>
              <wp:inline distT="0" distB="0" distL="0" distR="0" wp14:anchorId="063C0666" wp14:editId="5D6A5D93">
                <wp:extent cx="5731510" cy="5731510"/>
                <wp:effectExtent l="0" t="0" r="2540" b="2540"/>
                <wp:docPr id="1712314106"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4106" name="Picture 2"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rsidR="003515E1">
            <w:rPr>
              <w:rFonts w:ascii="Open Sans" w:eastAsia="Times New Roman" w:hAnsi="Open Sans" w:cs="Open Sans"/>
              <w:b/>
              <w:bCs/>
              <w:kern w:val="0"/>
              <w:sz w:val="24"/>
              <w:szCs w:val="24"/>
              <w:lang w:eastAsia="en-GB"/>
              <w14:ligatures w14:val="none"/>
            </w:rPr>
            <w:br w:type="page"/>
          </w:r>
        </w:p>
      </w:sdtContent>
    </w:sdt>
    <w:p w14:paraId="7F7A715C" w14:textId="5EE0A891"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0" w:name="_Toc202874634"/>
      <w:bookmarkStart w:id="1" w:name="_Toc202874797"/>
      <w:r>
        <w:rPr>
          <w:rFonts w:ascii="Open Sans" w:eastAsia="Times New Roman" w:hAnsi="Open Sans" w:cs="Open Sans"/>
          <w:b/>
          <w:bCs/>
          <w:kern w:val="0"/>
          <w:sz w:val="24"/>
          <w:szCs w:val="24"/>
          <w:lang w:eastAsia="en-GB"/>
          <w14:ligatures w14:val="none"/>
        </w:rPr>
        <w:lastRenderedPageBreak/>
        <w:t>TABLE OF CONTENTS</w:t>
      </w:r>
    </w:p>
    <w:p w14:paraId="63B7B3BB" w14:textId="2B014607"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r w:rsidRPr="004D05AA">
        <w:rPr>
          <w:rFonts w:ascii="Open Sans" w:eastAsia="Times New Roman" w:hAnsi="Open Sans" w:cs="Open Sans"/>
          <w:b/>
          <w:bCs/>
          <w:kern w:val="0"/>
          <w:sz w:val="24"/>
          <w:szCs w:val="24"/>
          <w:lang w:eastAsia="en-GB"/>
          <w14:ligatures w14:val="none"/>
        </w:rPr>
        <w:fldChar w:fldCharType="begin"/>
      </w:r>
      <w:r w:rsidRPr="004D05AA">
        <w:rPr>
          <w:rFonts w:ascii="Open Sans" w:eastAsia="Times New Roman" w:hAnsi="Open Sans" w:cs="Open Sans"/>
          <w:b/>
          <w:bCs/>
          <w:kern w:val="0"/>
          <w:sz w:val="24"/>
          <w:szCs w:val="24"/>
          <w:lang w:eastAsia="en-GB"/>
          <w14:ligatures w14:val="none"/>
        </w:rPr>
        <w:instrText xml:space="preserve"> TOC \o "1-3" \h \z \u </w:instrText>
      </w:r>
      <w:r w:rsidRPr="004D05AA">
        <w:rPr>
          <w:rFonts w:ascii="Open Sans" w:eastAsia="Times New Roman" w:hAnsi="Open Sans" w:cs="Open Sans"/>
          <w:b/>
          <w:bCs/>
          <w:kern w:val="0"/>
          <w:sz w:val="24"/>
          <w:szCs w:val="24"/>
          <w:lang w:eastAsia="en-GB"/>
          <w14:ligatures w14:val="none"/>
        </w:rPr>
        <w:fldChar w:fldCharType="separate"/>
      </w:r>
      <w:hyperlink w:anchor="_Toc204962793" w:history="1">
        <w:r w:rsidRPr="004D05AA">
          <w:rPr>
            <w:rStyle w:val="Hyperlink"/>
            <w:rFonts w:ascii="Open Sans" w:eastAsia="Times New Roman" w:hAnsi="Open Sans" w:cs="Open Sans"/>
            <w:b/>
            <w:bCs/>
            <w:noProof/>
            <w:kern w:val="0"/>
            <w:sz w:val="24"/>
            <w:szCs w:val="24"/>
            <w:lang w:eastAsia="en-GB"/>
            <w14:ligatures w14:val="none"/>
          </w:rPr>
          <w:t>Executive Summary</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_Toc204962793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2</w:t>
        </w:r>
        <w:r w:rsidRPr="004D05AA">
          <w:rPr>
            <w:rFonts w:ascii="Open Sans" w:hAnsi="Open Sans" w:cs="Open Sans"/>
            <w:noProof/>
            <w:webHidden/>
            <w:sz w:val="24"/>
            <w:szCs w:val="24"/>
          </w:rPr>
          <w:fldChar w:fldCharType="end"/>
        </w:r>
      </w:hyperlink>
    </w:p>
    <w:p w14:paraId="1976EFFE" w14:textId="10E9D853"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4" w:history="1">
        <w:r w:rsidRPr="004D05AA">
          <w:rPr>
            <w:rStyle w:val="Hyperlink"/>
            <w:rFonts w:ascii="Open Sans" w:eastAsia="Times New Roman" w:hAnsi="Open Sans" w:cs="Open Sans"/>
            <w:b/>
            <w:bCs/>
            <w:noProof/>
            <w:kern w:val="0"/>
            <w:sz w:val="24"/>
            <w:szCs w:val="24"/>
            <w:lang w:eastAsia="en-GB"/>
            <w14:ligatures w14:val="none"/>
          </w:rPr>
          <w:t>1. Governance and Accountability</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_Toc204962794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2</w:t>
        </w:r>
        <w:r w:rsidRPr="004D05AA">
          <w:rPr>
            <w:rFonts w:ascii="Open Sans" w:hAnsi="Open Sans" w:cs="Open Sans"/>
            <w:noProof/>
            <w:webHidden/>
            <w:sz w:val="24"/>
            <w:szCs w:val="24"/>
          </w:rPr>
          <w:fldChar w:fldCharType="end"/>
        </w:r>
      </w:hyperlink>
    </w:p>
    <w:p w14:paraId="02E19BB3" w14:textId="45FAD996"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5" w:history="1">
        <w:r w:rsidRPr="004D05AA">
          <w:rPr>
            <w:rStyle w:val="Hyperlink"/>
            <w:rFonts w:ascii="Open Sans" w:eastAsia="Times New Roman" w:hAnsi="Open Sans" w:cs="Open Sans"/>
            <w:b/>
            <w:bCs/>
            <w:noProof/>
            <w:kern w:val="0"/>
            <w:sz w:val="24"/>
            <w:szCs w:val="24"/>
            <w:lang w:eastAsia="en-GB"/>
            <w14:ligatures w14:val="none"/>
          </w:rPr>
          <w:t>2. Data Classification and Handling</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_Toc204962795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3</w:t>
        </w:r>
        <w:r w:rsidRPr="004D05AA">
          <w:rPr>
            <w:rFonts w:ascii="Open Sans" w:hAnsi="Open Sans" w:cs="Open Sans"/>
            <w:noProof/>
            <w:webHidden/>
            <w:sz w:val="24"/>
            <w:szCs w:val="24"/>
          </w:rPr>
          <w:fldChar w:fldCharType="end"/>
        </w:r>
      </w:hyperlink>
    </w:p>
    <w:p w14:paraId="241ECCE3" w14:textId="413CEBCB"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6" w:history="1">
        <w:r w:rsidRPr="004D05AA">
          <w:rPr>
            <w:rStyle w:val="Hyperlink"/>
            <w:rFonts w:ascii="Open Sans" w:eastAsia="Times New Roman" w:hAnsi="Open Sans" w:cs="Open Sans"/>
            <w:b/>
            <w:bCs/>
            <w:noProof/>
            <w:kern w:val="0"/>
            <w:sz w:val="24"/>
            <w:szCs w:val="24"/>
            <w:lang w:eastAsia="en-GB"/>
            <w14:ligatures w14:val="none"/>
          </w:rPr>
          <w:t>3. Access Control and Authorisation</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_Toc204962796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3</w:t>
        </w:r>
        <w:r w:rsidRPr="004D05AA">
          <w:rPr>
            <w:rFonts w:ascii="Open Sans" w:hAnsi="Open Sans" w:cs="Open Sans"/>
            <w:noProof/>
            <w:webHidden/>
            <w:sz w:val="24"/>
            <w:szCs w:val="24"/>
          </w:rPr>
          <w:fldChar w:fldCharType="end"/>
        </w:r>
      </w:hyperlink>
    </w:p>
    <w:p w14:paraId="4CA6F669" w14:textId="6ACC3E6D"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7" w:history="1">
        <w:r w:rsidRPr="004D05AA">
          <w:rPr>
            <w:rStyle w:val="Hyperlink"/>
            <w:rFonts w:ascii="Open Sans" w:eastAsia="Times New Roman" w:hAnsi="Open Sans" w:cs="Open Sans"/>
            <w:b/>
            <w:bCs/>
            <w:noProof/>
            <w:kern w:val="0"/>
            <w:sz w:val="24"/>
            <w:szCs w:val="24"/>
            <w:lang w:eastAsia="en-GB"/>
            <w14:ligatures w14:val="none"/>
          </w:rPr>
          <w:t>4. Data Usage and Sharing</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_Toc204962797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4</w:t>
        </w:r>
        <w:r w:rsidRPr="004D05AA">
          <w:rPr>
            <w:rFonts w:ascii="Open Sans" w:hAnsi="Open Sans" w:cs="Open Sans"/>
            <w:noProof/>
            <w:webHidden/>
            <w:sz w:val="24"/>
            <w:szCs w:val="24"/>
          </w:rPr>
          <w:fldChar w:fldCharType="end"/>
        </w:r>
      </w:hyperlink>
    </w:p>
    <w:p w14:paraId="3C47F1BC" w14:textId="308C5329"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8" w:history="1">
        <w:r w:rsidRPr="004D05AA">
          <w:rPr>
            <w:rStyle w:val="Hyperlink"/>
            <w:rFonts w:ascii="Open Sans" w:eastAsia="Times New Roman" w:hAnsi="Open Sans" w:cs="Open Sans"/>
            <w:b/>
            <w:bCs/>
            <w:noProof/>
            <w:kern w:val="0"/>
            <w:sz w:val="24"/>
            <w:szCs w:val="24"/>
            <w:lang w:eastAsia="en-GB"/>
            <w14:ligatures w14:val="none"/>
          </w:rPr>
          <w:t>5. Monitoring, Logging and Tracking</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_Toc204962798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5</w:t>
        </w:r>
        <w:r w:rsidRPr="004D05AA">
          <w:rPr>
            <w:rFonts w:ascii="Open Sans" w:hAnsi="Open Sans" w:cs="Open Sans"/>
            <w:noProof/>
            <w:webHidden/>
            <w:sz w:val="24"/>
            <w:szCs w:val="24"/>
          </w:rPr>
          <w:fldChar w:fldCharType="end"/>
        </w:r>
      </w:hyperlink>
    </w:p>
    <w:p w14:paraId="2F11A01A" w14:textId="6329BDA7"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799" w:history="1">
        <w:r w:rsidRPr="004D05AA">
          <w:rPr>
            <w:rStyle w:val="Hyperlink"/>
            <w:rFonts w:ascii="Open Sans" w:eastAsia="Times New Roman" w:hAnsi="Open Sans" w:cs="Open Sans"/>
            <w:b/>
            <w:bCs/>
            <w:noProof/>
            <w:kern w:val="0"/>
            <w:sz w:val="24"/>
            <w:szCs w:val="24"/>
            <w:lang w:eastAsia="en-GB"/>
            <w14:ligatures w14:val="none"/>
          </w:rPr>
          <w:t>6. Incident Detection and Response</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_Toc204962799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5</w:t>
        </w:r>
        <w:r w:rsidRPr="004D05AA">
          <w:rPr>
            <w:rFonts w:ascii="Open Sans" w:hAnsi="Open Sans" w:cs="Open Sans"/>
            <w:noProof/>
            <w:webHidden/>
            <w:sz w:val="24"/>
            <w:szCs w:val="24"/>
          </w:rPr>
          <w:fldChar w:fldCharType="end"/>
        </w:r>
      </w:hyperlink>
    </w:p>
    <w:p w14:paraId="5237C103" w14:textId="4ADABF13" w:rsidR="004D05AA" w:rsidRPr="004D05AA" w:rsidRDefault="004D05AA" w:rsidP="004D05AA">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62800" w:history="1">
        <w:r w:rsidRPr="004D05AA">
          <w:rPr>
            <w:rStyle w:val="Hyperlink"/>
            <w:rFonts w:ascii="Open Sans" w:eastAsia="Times New Roman" w:hAnsi="Open Sans" w:cs="Open Sans"/>
            <w:noProof/>
            <w:kern w:val="0"/>
            <w:sz w:val="24"/>
            <w:szCs w:val="24"/>
            <w:lang w:eastAsia="en-GB"/>
            <w14:ligatures w14:val="none"/>
          </w:rPr>
          <w:t>6.1 Detection</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_Toc204962800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5</w:t>
        </w:r>
        <w:r w:rsidRPr="004D05AA">
          <w:rPr>
            <w:rFonts w:ascii="Open Sans" w:hAnsi="Open Sans" w:cs="Open Sans"/>
            <w:noProof/>
            <w:webHidden/>
            <w:sz w:val="24"/>
            <w:szCs w:val="24"/>
          </w:rPr>
          <w:fldChar w:fldCharType="end"/>
        </w:r>
      </w:hyperlink>
    </w:p>
    <w:p w14:paraId="3FF47970" w14:textId="08BB9AD5" w:rsidR="004D05AA" w:rsidRPr="004D05AA" w:rsidRDefault="004D05AA" w:rsidP="004D05AA">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4962801" w:history="1">
        <w:r w:rsidRPr="004D05AA">
          <w:rPr>
            <w:rStyle w:val="Hyperlink"/>
            <w:rFonts w:ascii="Open Sans" w:eastAsia="Times New Roman" w:hAnsi="Open Sans" w:cs="Open Sans"/>
            <w:noProof/>
            <w:kern w:val="0"/>
            <w:sz w:val="24"/>
            <w:szCs w:val="24"/>
            <w:lang w:eastAsia="en-GB"/>
            <w14:ligatures w14:val="none"/>
          </w:rPr>
          <w:t>6.2 Response</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_Toc204962801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5</w:t>
        </w:r>
        <w:r w:rsidRPr="004D05AA">
          <w:rPr>
            <w:rFonts w:ascii="Open Sans" w:hAnsi="Open Sans" w:cs="Open Sans"/>
            <w:noProof/>
            <w:webHidden/>
            <w:sz w:val="24"/>
            <w:szCs w:val="24"/>
          </w:rPr>
          <w:fldChar w:fldCharType="end"/>
        </w:r>
      </w:hyperlink>
    </w:p>
    <w:p w14:paraId="20E3A65D" w14:textId="59487096"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802" w:history="1">
        <w:r w:rsidRPr="004D05AA">
          <w:rPr>
            <w:rStyle w:val="Hyperlink"/>
            <w:rFonts w:ascii="Open Sans" w:eastAsia="Times New Roman" w:hAnsi="Open Sans" w:cs="Open Sans"/>
            <w:b/>
            <w:bCs/>
            <w:noProof/>
            <w:kern w:val="0"/>
            <w:sz w:val="24"/>
            <w:szCs w:val="24"/>
            <w:lang w:eastAsia="en-GB"/>
            <w14:ligatures w14:val="none"/>
          </w:rPr>
          <w:t>7. Testing, Review and Continuous Improvement</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_Toc204962802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6</w:t>
        </w:r>
        <w:r w:rsidRPr="004D05AA">
          <w:rPr>
            <w:rFonts w:ascii="Open Sans" w:hAnsi="Open Sans" w:cs="Open Sans"/>
            <w:noProof/>
            <w:webHidden/>
            <w:sz w:val="24"/>
            <w:szCs w:val="24"/>
          </w:rPr>
          <w:fldChar w:fldCharType="end"/>
        </w:r>
      </w:hyperlink>
    </w:p>
    <w:p w14:paraId="58720E1B" w14:textId="5C1C09D9" w:rsidR="004D05AA" w:rsidRPr="004D05AA" w:rsidRDefault="004D05AA" w:rsidP="004D05AA">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4962803" w:history="1">
        <w:r w:rsidRPr="004D05AA">
          <w:rPr>
            <w:rStyle w:val="Hyperlink"/>
            <w:rFonts w:ascii="Open Sans" w:eastAsia="Times New Roman" w:hAnsi="Open Sans" w:cs="Open Sans"/>
            <w:b/>
            <w:bCs/>
            <w:noProof/>
            <w:kern w:val="0"/>
            <w:sz w:val="24"/>
            <w:szCs w:val="24"/>
            <w:lang w:eastAsia="en-GB"/>
            <w14:ligatures w14:val="none"/>
          </w:rPr>
          <w:t>8. Record Retention and Audit</w:t>
        </w:r>
        <w:r w:rsidRPr="004D05AA">
          <w:rPr>
            <w:rFonts w:ascii="Open Sans" w:hAnsi="Open Sans" w:cs="Open Sans"/>
            <w:noProof/>
            <w:webHidden/>
            <w:sz w:val="24"/>
            <w:szCs w:val="24"/>
          </w:rPr>
          <w:tab/>
        </w:r>
        <w:r w:rsidRPr="004D05AA">
          <w:rPr>
            <w:rFonts w:ascii="Open Sans" w:hAnsi="Open Sans" w:cs="Open Sans"/>
            <w:noProof/>
            <w:webHidden/>
            <w:sz w:val="24"/>
            <w:szCs w:val="24"/>
          </w:rPr>
          <w:fldChar w:fldCharType="begin"/>
        </w:r>
        <w:r w:rsidRPr="004D05AA">
          <w:rPr>
            <w:rFonts w:ascii="Open Sans" w:hAnsi="Open Sans" w:cs="Open Sans"/>
            <w:noProof/>
            <w:webHidden/>
            <w:sz w:val="24"/>
            <w:szCs w:val="24"/>
          </w:rPr>
          <w:instrText xml:space="preserve"> PAGEREF _Toc204962803 \h </w:instrText>
        </w:r>
        <w:r w:rsidRPr="004D05AA">
          <w:rPr>
            <w:rFonts w:ascii="Open Sans" w:hAnsi="Open Sans" w:cs="Open Sans"/>
            <w:noProof/>
            <w:webHidden/>
            <w:sz w:val="24"/>
            <w:szCs w:val="24"/>
          </w:rPr>
        </w:r>
        <w:r w:rsidRPr="004D05AA">
          <w:rPr>
            <w:rFonts w:ascii="Open Sans" w:hAnsi="Open Sans" w:cs="Open Sans"/>
            <w:noProof/>
            <w:webHidden/>
            <w:sz w:val="24"/>
            <w:szCs w:val="24"/>
          </w:rPr>
          <w:fldChar w:fldCharType="separate"/>
        </w:r>
        <w:r w:rsidR="006E6F20">
          <w:rPr>
            <w:rFonts w:ascii="Open Sans" w:hAnsi="Open Sans" w:cs="Open Sans"/>
            <w:noProof/>
            <w:webHidden/>
            <w:sz w:val="24"/>
            <w:szCs w:val="24"/>
          </w:rPr>
          <w:t>6</w:t>
        </w:r>
        <w:r w:rsidRPr="004D05AA">
          <w:rPr>
            <w:rFonts w:ascii="Open Sans" w:hAnsi="Open Sans" w:cs="Open Sans"/>
            <w:noProof/>
            <w:webHidden/>
            <w:sz w:val="24"/>
            <w:szCs w:val="24"/>
          </w:rPr>
          <w:fldChar w:fldCharType="end"/>
        </w:r>
      </w:hyperlink>
    </w:p>
    <w:p w14:paraId="3984C707" w14:textId="2A941739" w:rsidR="004D05AA" w:rsidRDefault="004D05AA" w:rsidP="004D05AA">
      <w:pPr>
        <w:spacing w:before="100" w:beforeAutospacing="1" w:after="100" w:afterAutospacing="1" w:line="480" w:lineRule="auto"/>
        <w:outlineLvl w:val="1"/>
        <w:rPr>
          <w:rFonts w:ascii="Open Sans" w:eastAsia="Times New Roman" w:hAnsi="Open Sans" w:cs="Open Sans"/>
          <w:b/>
          <w:bCs/>
          <w:kern w:val="0"/>
          <w:sz w:val="24"/>
          <w:szCs w:val="24"/>
          <w:lang w:eastAsia="en-GB"/>
          <w14:ligatures w14:val="none"/>
        </w:rPr>
      </w:pPr>
      <w:r w:rsidRPr="004D05AA">
        <w:rPr>
          <w:rFonts w:ascii="Open Sans" w:eastAsia="Times New Roman" w:hAnsi="Open Sans" w:cs="Open Sans"/>
          <w:b/>
          <w:bCs/>
          <w:kern w:val="0"/>
          <w:sz w:val="24"/>
          <w:szCs w:val="24"/>
          <w:lang w:eastAsia="en-GB"/>
          <w14:ligatures w14:val="none"/>
        </w:rPr>
        <w:fldChar w:fldCharType="end"/>
      </w:r>
    </w:p>
    <w:p w14:paraId="275ABB14"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2F29BE71"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7A21C4FE"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1B887901"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0258286E"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0E825497"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7D6B4E53"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6D541167" w14:textId="77777777" w:rsidR="004D05AA" w:rsidRDefault="004D05AA"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p>
    <w:p w14:paraId="5D1D7041" w14:textId="658D005E" w:rsidR="00A9285D" w:rsidRPr="003515E1" w:rsidRDefault="004B79A0"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2" w:name="_Toc204962793"/>
      <w:r>
        <w:rPr>
          <w:rFonts w:ascii="Open Sans" w:eastAsia="Times New Roman" w:hAnsi="Open Sans" w:cs="Open Sans"/>
          <w:b/>
          <w:bCs/>
          <w:kern w:val="0"/>
          <w:sz w:val="24"/>
          <w:szCs w:val="24"/>
          <w:lang w:eastAsia="en-GB"/>
          <w14:ligatures w14:val="none"/>
        </w:rPr>
        <w:lastRenderedPageBreak/>
        <w:t>E</w:t>
      </w:r>
      <w:r w:rsidR="00A9285D" w:rsidRPr="003515E1">
        <w:rPr>
          <w:rFonts w:ascii="Open Sans" w:eastAsia="Times New Roman" w:hAnsi="Open Sans" w:cs="Open Sans"/>
          <w:b/>
          <w:bCs/>
          <w:kern w:val="0"/>
          <w:sz w:val="24"/>
          <w:szCs w:val="24"/>
          <w:lang w:eastAsia="en-GB"/>
          <w14:ligatures w14:val="none"/>
        </w:rPr>
        <w:t>xecutive Summary</w:t>
      </w:r>
      <w:bookmarkEnd w:id="0"/>
      <w:bookmarkEnd w:id="1"/>
      <w:bookmarkEnd w:id="2"/>
    </w:p>
    <w:p w14:paraId="4D6855C3" w14:textId="08472BB4" w:rsidR="00A9285D" w:rsidRPr="003515E1" w:rsidRDefault="00A9285D" w:rsidP="00991CE1">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FYM Compliance Limited implements a robust data security framework to safeguard sensitive payment and customer data in accordance with the FCA’s requirements under the PSRs 2017, EMRs 2011 and the FCA Handbook (notably SUP 16 on strong customer authentication and SUP 15 on reporting) (</w:t>
      </w:r>
      <w:hyperlink r:id="rId6" w:tooltip="[PDF] fca-approach-payment-services-electronic-money-december-2018 ..." w:history="1">
        <w:r w:rsidRPr="003515E1">
          <w:rPr>
            <w:rFonts w:ascii="Open Sans" w:eastAsia="Times New Roman" w:hAnsi="Open Sans" w:cs="Open Sans"/>
            <w:color w:val="0000FF"/>
            <w:kern w:val="0"/>
            <w:sz w:val="24"/>
            <w:szCs w:val="24"/>
            <w:u w:val="single"/>
            <w:lang w:eastAsia="en-GB"/>
            <w14:ligatures w14:val="none"/>
          </w:rPr>
          <w:t>fca.org.uk</w:t>
        </w:r>
      </w:hyperlink>
      <w:r w:rsidRPr="003515E1">
        <w:rPr>
          <w:rFonts w:ascii="Open Sans" w:eastAsia="Times New Roman" w:hAnsi="Open Sans" w:cs="Open Sans"/>
          <w:kern w:val="0"/>
          <w:sz w:val="24"/>
          <w:szCs w:val="24"/>
          <w:lang w:eastAsia="en-GB"/>
          <w14:ligatures w14:val="none"/>
        </w:rPr>
        <w:t>). Our policy covers data classification, access management, monitoring, breach detection and remediation, ensuring high standards of confidentiality, integrity and availability for all e-money and payment systems.</w:t>
      </w:r>
      <w:r w:rsidR="00991CE1">
        <w:rPr>
          <w:rFonts w:ascii="Open Sans" w:eastAsia="Times New Roman" w:hAnsi="Open Sans" w:cs="Open Sans"/>
          <w:kern w:val="0"/>
          <w:sz w:val="24"/>
          <w:szCs w:val="24"/>
          <w:lang w:eastAsia="en-GB"/>
          <w14:ligatures w14:val="none"/>
        </w:rPr>
        <w:t xml:space="preserve"> </w:t>
      </w:r>
      <w:r w:rsidR="00991CE1" w:rsidRPr="00991CE1">
        <w:rPr>
          <w:rFonts w:ascii="Open Sans" w:eastAsia="Times New Roman" w:hAnsi="Open Sans" w:cs="Open Sans"/>
          <w:kern w:val="0"/>
          <w:sz w:val="24"/>
          <w:szCs w:val="24"/>
          <w:lang w:eastAsia="en-GB"/>
          <w14:ligatures w14:val="none"/>
        </w:rPr>
        <w:t>By implementing this Data Security Policy, FYM Compliance Limited ensures that sensitive payment data is rigorously protected at every stage—storage, access, usage, and transmission—and that any breaches are swiftly detected, contained, reported, and remediated in line with FCA, EMR, PSR and GDPR obligations.</w:t>
      </w:r>
    </w:p>
    <w:p w14:paraId="36AF061D" w14:textId="0559093D" w:rsidR="00A9285D" w:rsidRDefault="00A9285D" w:rsidP="00A9285D">
      <w:pPr>
        <w:spacing w:after="0" w:line="240" w:lineRule="auto"/>
        <w:rPr>
          <w:rFonts w:ascii="Open Sans" w:eastAsia="Times New Roman" w:hAnsi="Open Sans" w:cs="Open Sans"/>
          <w:kern w:val="0"/>
          <w:sz w:val="24"/>
          <w:szCs w:val="24"/>
          <w:lang w:eastAsia="en-GB"/>
          <w14:ligatures w14:val="none"/>
        </w:rPr>
      </w:pPr>
    </w:p>
    <w:p w14:paraId="7C7FECA7" w14:textId="77777777" w:rsidR="00991CE1" w:rsidRPr="003515E1" w:rsidRDefault="00991CE1" w:rsidP="00A9285D">
      <w:pPr>
        <w:spacing w:after="0" w:line="240" w:lineRule="auto"/>
        <w:rPr>
          <w:rFonts w:ascii="Open Sans" w:eastAsia="Times New Roman" w:hAnsi="Open Sans" w:cs="Open Sans"/>
          <w:kern w:val="0"/>
          <w:sz w:val="24"/>
          <w:szCs w:val="24"/>
          <w:lang w:eastAsia="en-GB"/>
          <w14:ligatures w14:val="none"/>
        </w:rPr>
      </w:pPr>
    </w:p>
    <w:p w14:paraId="738A4C11"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3" w:name="_Toc202874635"/>
      <w:bookmarkStart w:id="4" w:name="_Toc202874798"/>
      <w:bookmarkStart w:id="5" w:name="_Toc204962794"/>
      <w:r w:rsidRPr="003515E1">
        <w:rPr>
          <w:rFonts w:ascii="Open Sans" w:eastAsia="Times New Roman" w:hAnsi="Open Sans" w:cs="Open Sans"/>
          <w:b/>
          <w:bCs/>
          <w:kern w:val="0"/>
          <w:sz w:val="24"/>
          <w:szCs w:val="24"/>
          <w:lang w:eastAsia="en-GB"/>
          <w14:ligatures w14:val="none"/>
        </w:rPr>
        <w:t>1. Governance and Accountability</w:t>
      </w:r>
      <w:bookmarkEnd w:id="3"/>
      <w:bookmarkEnd w:id="4"/>
      <w:bookmarkEnd w:id="5"/>
    </w:p>
    <w:p w14:paraId="1B951799"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FYM’s Board and Senior Management endorse and own data security, embedding it within our Three Lines of Defence model and ensuring policies remain current.</w:t>
      </w:r>
    </w:p>
    <w:p w14:paraId="41B6FFF4" w14:textId="77777777" w:rsidR="00A9285D" w:rsidRPr="006E6F20" w:rsidRDefault="00A9285D" w:rsidP="006E6F20">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E6F20">
        <w:rPr>
          <w:rFonts w:ascii="Open Sans" w:eastAsia="Times New Roman" w:hAnsi="Open Sans" w:cs="Open Sans"/>
          <w:kern w:val="0"/>
          <w:sz w:val="24"/>
          <w:szCs w:val="24"/>
          <w:lang w:eastAsia="en-GB"/>
          <w14:ligatures w14:val="none"/>
        </w:rPr>
        <w:t>Board Oversight: The Board formally approves this Data Security Policy and reviews it annually or upon material change to systems or regulation (</w:t>
      </w:r>
      <w:hyperlink r:id="rId7" w:tooltip="[PDF] Payment Services and Electronic Money – Our Approach | FCA" w:history="1">
        <w:r w:rsidRPr="006E6F20">
          <w:rPr>
            <w:rFonts w:ascii="Open Sans" w:eastAsia="Times New Roman" w:hAnsi="Open Sans" w:cs="Open Sans"/>
            <w:color w:val="0000FF"/>
            <w:kern w:val="0"/>
            <w:sz w:val="24"/>
            <w:szCs w:val="24"/>
            <w:u w:val="single"/>
            <w:lang w:eastAsia="en-GB"/>
            <w14:ligatures w14:val="none"/>
          </w:rPr>
          <w:t>fca.org.uk</w:t>
        </w:r>
      </w:hyperlink>
      <w:r w:rsidRPr="006E6F20">
        <w:rPr>
          <w:rFonts w:ascii="Open Sans" w:eastAsia="Times New Roman" w:hAnsi="Open Sans" w:cs="Open Sans"/>
          <w:kern w:val="0"/>
          <w:sz w:val="24"/>
          <w:szCs w:val="24"/>
          <w:lang w:eastAsia="en-GB"/>
          <w14:ligatures w14:val="none"/>
        </w:rPr>
        <w:t>).</w:t>
      </w:r>
    </w:p>
    <w:p w14:paraId="24861666" w14:textId="77777777" w:rsidR="00A9285D" w:rsidRPr="006E6F20" w:rsidRDefault="00A9285D" w:rsidP="006E6F20">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E6F20">
        <w:rPr>
          <w:rFonts w:ascii="Open Sans" w:eastAsia="Times New Roman" w:hAnsi="Open Sans" w:cs="Open Sans"/>
          <w:kern w:val="0"/>
          <w:sz w:val="24"/>
          <w:szCs w:val="24"/>
          <w:lang w:eastAsia="en-GB"/>
          <w14:ligatures w14:val="none"/>
        </w:rPr>
        <w:t>Data Security Officer (DSO): A senior manager designated under SM&amp;CR bears ultimate responsibility for data security governance, reporting quarterly to the Board on key metrics, incidents and compliance (</w:t>
      </w:r>
      <w:hyperlink r:id="rId8" w:tooltip="[PDF] Consultation Paper 18/25: Approach to final Regulatory Technical ..." w:history="1">
        <w:r w:rsidRPr="006E6F20">
          <w:rPr>
            <w:rFonts w:ascii="Open Sans" w:eastAsia="Times New Roman" w:hAnsi="Open Sans" w:cs="Open Sans"/>
            <w:color w:val="0000FF"/>
            <w:kern w:val="0"/>
            <w:sz w:val="24"/>
            <w:szCs w:val="24"/>
            <w:u w:val="single"/>
            <w:lang w:eastAsia="en-GB"/>
            <w14:ligatures w14:val="none"/>
          </w:rPr>
          <w:t>fca.org.uk</w:t>
        </w:r>
      </w:hyperlink>
      <w:r w:rsidRPr="006E6F20">
        <w:rPr>
          <w:rFonts w:ascii="Open Sans" w:eastAsia="Times New Roman" w:hAnsi="Open Sans" w:cs="Open Sans"/>
          <w:kern w:val="0"/>
          <w:sz w:val="24"/>
          <w:szCs w:val="24"/>
          <w:lang w:eastAsia="en-GB"/>
          <w14:ligatures w14:val="none"/>
        </w:rPr>
        <w:t>).</w:t>
      </w:r>
    </w:p>
    <w:p w14:paraId="471609F7" w14:textId="77777777" w:rsidR="00A9285D" w:rsidRPr="006E6F20" w:rsidRDefault="00A9285D" w:rsidP="006E6F20">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E6F20">
        <w:rPr>
          <w:rFonts w:ascii="Open Sans" w:eastAsia="Times New Roman" w:hAnsi="Open Sans" w:cs="Open Sans"/>
          <w:kern w:val="0"/>
          <w:sz w:val="24"/>
          <w:szCs w:val="24"/>
          <w:lang w:eastAsia="en-GB"/>
          <w14:ligatures w14:val="none"/>
        </w:rPr>
        <w:t>Risk and Compliance Team (2LoD): Conducts periodic risk assessments (including data protection impact assessments) and oversees policy implementation.</w:t>
      </w:r>
    </w:p>
    <w:p w14:paraId="33892A70" w14:textId="77777777" w:rsidR="00A9285D" w:rsidRPr="003515E1" w:rsidRDefault="00A9285D" w:rsidP="006E6F20">
      <w:pPr>
        <w:numPr>
          <w:ilvl w:val="0"/>
          <w:numId w:val="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6E6F20">
        <w:rPr>
          <w:rFonts w:ascii="Open Sans" w:eastAsia="Times New Roman" w:hAnsi="Open Sans" w:cs="Open Sans"/>
          <w:kern w:val="0"/>
          <w:sz w:val="24"/>
          <w:szCs w:val="24"/>
          <w:lang w:eastAsia="en-GB"/>
          <w14:ligatures w14:val="none"/>
        </w:rPr>
        <w:t>Internal Audit (3LoD): Independently tests controls at least annually, covering data classification</w:t>
      </w:r>
      <w:r w:rsidRPr="003515E1">
        <w:rPr>
          <w:rFonts w:ascii="Open Sans" w:eastAsia="Times New Roman" w:hAnsi="Open Sans" w:cs="Open Sans"/>
          <w:kern w:val="0"/>
          <w:sz w:val="24"/>
          <w:szCs w:val="24"/>
          <w:lang w:eastAsia="en-GB"/>
          <w14:ligatures w14:val="none"/>
        </w:rPr>
        <w:t>, access logs and breach-response effectiveness (</w:t>
      </w:r>
      <w:hyperlink r:id="rId9" w:tooltip="[PDF] PS21/19: Changes to the SCA-RTS and to the guidance in 'Payment ..." w:history="1">
        <w:r w:rsidRPr="003515E1">
          <w:rPr>
            <w:rFonts w:ascii="Open Sans" w:eastAsia="Times New Roman" w:hAnsi="Open Sans" w:cs="Open Sans"/>
            <w:color w:val="0000FF"/>
            <w:kern w:val="0"/>
            <w:sz w:val="24"/>
            <w:szCs w:val="24"/>
            <w:u w:val="single"/>
            <w:lang w:eastAsia="en-GB"/>
            <w14:ligatures w14:val="none"/>
          </w:rPr>
          <w:t>fca.org.uk</w:t>
        </w:r>
      </w:hyperlink>
      <w:r w:rsidRPr="003515E1">
        <w:rPr>
          <w:rFonts w:ascii="Open Sans" w:eastAsia="Times New Roman" w:hAnsi="Open Sans" w:cs="Open Sans"/>
          <w:kern w:val="0"/>
          <w:sz w:val="24"/>
          <w:szCs w:val="24"/>
          <w:lang w:eastAsia="en-GB"/>
          <w14:ligatures w14:val="none"/>
        </w:rPr>
        <w:t>).</w:t>
      </w:r>
    </w:p>
    <w:p w14:paraId="302DDF22" w14:textId="3D7E8534" w:rsidR="00A9285D" w:rsidRDefault="00A9285D" w:rsidP="00A9285D">
      <w:pPr>
        <w:spacing w:after="0" w:line="240" w:lineRule="auto"/>
        <w:rPr>
          <w:rFonts w:ascii="Open Sans" w:eastAsia="Times New Roman" w:hAnsi="Open Sans" w:cs="Open Sans"/>
          <w:kern w:val="0"/>
          <w:sz w:val="24"/>
          <w:szCs w:val="24"/>
          <w:lang w:eastAsia="en-GB"/>
          <w14:ligatures w14:val="none"/>
        </w:rPr>
      </w:pPr>
    </w:p>
    <w:p w14:paraId="0403CE87" w14:textId="77777777" w:rsidR="00991CE1" w:rsidRDefault="00991CE1" w:rsidP="00A9285D">
      <w:pPr>
        <w:spacing w:after="0" w:line="240" w:lineRule="auto"/>
        <w:rPr>
          <w:rFonts w:ascii="Open Sans" w:eastAsia="Times New Roman" w:hAnsi="Open Sans" w:cs="Open Sans"/>
          <w:kern w:val="0"/>
          <w:sz w:val="24"/>
          <w:szCs w:val="24"/>
          <w:lang w:eastAsia="en-GB"/>
          <w14:ligatures w14:val="none"/>
        </w:rPr>
      </w:pPr>
    </w:p>
    <w:p w14:paraId="7E92959C" w14:textId="77777777" w:rsidR="00991CE1" w:rsidRDefault="00991CE1" w:rsidP="00A9285D">
      <w:pPr>
        <w:spacing w:after="0" w:line="240" w:lineRule="auto"/>
        <w:rPr>
          <w:rFonts w:ascii="Open Sans" w:eastAsia="Times New Roman" w:hAnsi="Open Sans" w:cs="Open Sans"/>
          <w:kern w:val="0"/>
          <w:sz w:val="24"/>
          <w:szCs w:val="24"/>
          <w:lang w:eastAsia="en-GB"/>
          <w14:ligatures w14:val="none"/>
        </w:rPr>
      </w:pPr>
    </w:p>
    <w:p w14:paraId="653D64C0" w14:textId="77777777" w:rsidR="006E6F20" w:rsidRDefault="006E6F20" w:rsidP="00A9285D">
      <w:pPr>
        <w:spacing w:after="0" w:line="240" w:lineRule="auto"/>
        <w:rPr>
          <w:rFonts w:ascii="Open Sans" w:eastAsia="Times New Roman" w:hAnsi="Open Sans" w:cs="Open Sans"/>
          <w:kern w:val="0"/>
          <w:sz w:val="24"/>
          <w:szCs w:val="24"/>
          <w:lang w:eastAsia="en-GB"/>
          <w14:ligatures w14:val="none"/>
        </w:rPr>
      </w:pPr>
    </w:p>
    <w:p w14:paraId="39CB09E5" w14:textId="77777777" w:rsidR="00991CE1" w:rsidRDefault="00991CE1" w:rsidP="00A9285D">
      <w:pPr>
        <w:spacing w:after="0" w:line="240" w:lineRule="auto"/>
        <w:rPr>
          <w:rFonts w:ascii="Open Sans" w:eastAsia="Times New Roman" w:hAnsi="Open Sans" w:cs="Open Sans"/>
          <w:kern w:val="0"/>
          <w:sz w:val="24"/>
          <w:szCs w:val="24"/>
          <w:lang w:eastAsia="en-GB"/>
          <w14:ligatures w14:val="none"/>
        </w:rPr>
      </w:pPr>
    </w:p>
    <w:p w14:paraId="640017E6" w14:textId="77777777" w:rsidR="00991CE1" w:rsidRPr="003515E1" w:rsidRDefault="00991CE1" w:rsidP="00A9285D">
      <w:pPr>
        <w:spacing w:after="0" w:line="240" w:lineRule="auto"/>
        <w:rPr>
          <w:rFonts w:ascii="Open Sans" w:eastAsia="Times New Roman" w:hAnsi="Open Sans" w:cs="Open Sans"/>
          <w:kern w:val="0"/>
          <w:sz w:val="24"/>
          <w:szCs w:val="24"/>
          <w:lang w:eastAsia="en-GB"/>
          <w14:ligatures w14:val="none"/>
        </w:rPr>
      </w:pPr>
    </w:p>
    <w:p w14:paraId="6AD5EA06"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6" w:name="_Toc202874636"/>
      <w:bookmarkStart w:id="7" w:name="_Toc202874799"/>
      <w:bookmarkStart w:id="8" w:name="_Toc204962795"/>
      <w:r w:rsidRPr="003515E1">
        <w:rPr>
          <w:rFonts w:ascii="Open Sans" w:eastAsia="Times New Roman" w:hAnsi="Open Sans" w:cs="Open Sans"/>
          <w:b/>
          <w:bCs/>
          <w:kern w:val="0"/>
          <w:sz w:val="24"/>
          <w:szCs w:val="24"/>
          <w:lang w:eastAsia="en-GB"/>
          <w14:ligatures w14:val="none"/>
        </w:rPr>
        <w:lastRenderedPageBreak/>
        <w:t>2. Data Classification and Handling</w:t>
      </w:r>
      <w:bookmarkEnd w:id="6"/>
      <w:bookmarkEnd w:id="7"/>
      <w:bookmarkEnd w:id="8"/>
    </w:p>
    <w:p w14:paraId="2B7FDDBE" w14:textId="77777777" w:rsidR="00A9285D" w:rsidRPr="003515E1" w:rsidRDefault="00A9285D" w:rsidP="00A9285D">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We classify data based on sensitivity and apply handling rules accordingly:</w:t>
      </w:r>
    </w:p>
    <w:tbl>
      <w:tblPr>
        <w:tblStyle w:val="GridTable4-Accent1"/>
        <w:tblW w:w="9139" w:type="dxa"/>
        <w:tblLook w:val="04A0" w:firstRow="1" w:lastRow="0" w:firstColumn="1" w:lastColumn="0" w:noHBand="0" w:noVBand="1"/>
      </w:tblPr>
      <w:tblGrid>
        <w:gridCol w:w="1818"/>
        <w:gridCol w:w="2496"/>
        <w:gridCol w:w="2494"/>
        <w:gridCol w:w="2331"/>
      </w:tblGrid>
      <w:tr w:rsidR="00A9285D" w:rsidRPr="003515E1" w14:paraId="43F1CA63" w14:textId="77777777" w:rsidTr="00991CE1">
        <w:trPr>
          <w:cnfStyle w:val="100000000000" w:firstRow="1" w:lastRow="0" w:firstColumn="0" w:lastColumn="0" w:oddVBand="0" w:evenVBand="0" w:oddHBand="0"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0" w:type="auto"/>
            <w:hideMark/>
          </w:tcPr>
          <w:p w14:paraId="636A9BB6" w14:textId="77777777" w:rsidR="00A9285D" w:rsidRPr="003515E1" w:rsidRDefault="00A9285D" w:rsidP="00A9285D">
            <w:pPr>
              <w:jc w:val="center"/>
              <w:rPr>
                <w:rFonts w:ascii="Open Sans" w:eastAsia="Times New Roman" w:hAnsi="Open Sans" w:cs="Open Sans"/>
                <w:b w:val="0"/>
                <w:bCs w:val="0"/>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Classification</w:t>
            </w:r>
          </w:p>
        </w:tc>
        <w:tc>
          <w:tcPr>
            <w:tcW w:w="0" w:type="auto"/>
            <w:hideMark/>
          </w:tcPr>
          <w:p w14:paraId="0BE47F38" w14:textId="77777777" w:rsidR="00A9285D" w:rsidRPr="003515E1" w:rsidRDefault="00A9285D" w:rsidP="00A9285D">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Description</w:t>
            </w:r>
          </w:p>
        </w:tc>
        <w:tc>
          <w:tcPr>
            <w:tcW w:w="0" w:type="auto"/>
            <w:hideMark/>
          </w:tcPr>
          <w:p w14:paraId="57F1429C" w14:textId="77777777" w:rsidR="00A9285D" w:rsidRPr="003515E1" w:rsidRDefault="00A9285D" w:rsidP="00A9285D">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Examples</w:t>
            </w:r>
          </w:p>
        </w:tc>
        <w:tc>
          <w:tcPr>
            <w:tcW w:w="0" w:type="auto"/>
            <w:hideMark/>
          </w:tcPr>
          <w:p w14:paraId="5D954E82" w14:textId="77777777" w:rsidR="00A9285D" w:rsidRPr="003515E1" w:rsidRDefault="00A9285D" w:rsidP="00A9285D">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b w:val="0"/>
                <w:bCs w:val="0"/>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Handling Controls</w:t>
            </w:r>
          </w:p>
        </w:tc>
      </w:tr>
      <w:tr w:rsidR="00A9285D" w:rsidRPr="003515E1" w14:paraId="0B3F0EA4" w14:textId="77777777" w:rsidTr="00991CE1">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0" w:type="auto"/>
            <w:hideMark/>
          </w:tcPr>
          <w:p w14:paraId="2DEE06CA" w14:textId="77777777" w:rsidR="00A9285D" w:rsidRPr="003515E1" w:rsidRDefault="00A9285D" w:rsidP="00A9285D">
            <w:pPr>
              <w:jc w:val="center"/>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Public</w:t>
            </w:r>
          </w:p>
        </w:tc>
        <w:tc>
          <w:tcPr>
            <w:tcW w:w="0" w:type="auto"/>
            <w:hideMark/>
          </w:tcPr>
          <w:p w14:paraId="1F875085"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Data approved for general distribution</w:t>
            </w:r>
          </w:p>
        </w:tc>
        <w:tc>
          <w:tcPr>
            <w:tcW w:w="0" w:type="auto"/>
            <w:hideMark/>
          </w:tcPr>
          <w:p w14:paraId="2528CFB1"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Marketing materials</w:t>
            </w:r>
          </w:p>
        </w:tc>
        <w:tc>
          <w:tcPr>
            <w:tcW w:w="0" w:type="auto"/>
            <w:hideMark/>
          </w:tcPr>
          <w:p w14:paraId="29B476D2"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No access restrictions; standard backups</w:t>
            </w:r>
          </w:p>
        </w:tc>
      </w:tr>
      <w:tr w:rsidR="00A9285D" w:rsidRPr="003515E1" w14:paraId="5B12EC60" w14:textId="77777777" w:rsidTr="00991CE1">
        <w:trPr>
          <w:trHeight w:val="1203"/>
        </w:trPr>
        <w:tc>
          <w:tcPr>
            <w:cnfStyle w:val="001000000000" w:firstRow="0" w:lastRow="0" w:firstColumn="1" w:lastColumn="0" w:oddVBand="0" w:evenVBand="0" w:oddHBand="0" w:evenHBand="0" w:firstRowFirstColumn="0" w:firstRowLastColumn="0" w:lastRowFirstColumn="0" w:lastRowLastColumn="0"/>
            <w:tcW w:w="0" w:type="auto"/>
            <w:hideMark/>
          </w:tcPr>
          <w:p w14:paraId="0D214D79" w14:textId="77777777" w:rsidR="00A9285D" w:rsidRPr="003515E1" w:rsidRDefault="00A9285D" w:rsidP="00A9285D">
            <w:pPr>
              <w:jc w:val="center"/>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Internal</w:t>
            </w:r>
          </w:p>
        </w:tc>
        <w:tc>
          <w:tcPr>
            <w:tcW w:w="0" w:type="auto"/>
            <w:hideMark/>
          </w:tcPr>
          <w:p w14:paraId="51A5CEA8"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Business-critical but non-sensitive</w:t>
            </w:r>
          </w:p>
        </w:tc>
        <w:tc>
          <w:tcPr>
            <w:tcW w:w="0" w:type="auto"/>
            <w:hideMark/>
          </w:tcPr>
          <w:p w14:paraId="60F5E99B"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Process documentation</w:t>
            </w:r>
          </w:p>
        </w:tc>
        <w:tc>
          <w:tcPr>
            <w:tcW w:w="0" w:type="auto"/>
            <w:hideMark/>
          </w:tcPr>
          <w:p w14:paraId="550FD2B2"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Role-based access; encrypted at rest</w:t>
            </w:r>
          </w:p>
        </w:tc>
      </w:tr>
      <w:tr w:rsidR="00A9285D" w:rsidRPr="003515E1" w14:paraId="2E3F49C5" w14:textId="77777777" w:rsidTr="00991CE1">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0003066E" w14:textId="77777777" w:rsidR="00A9285D" w:rsidRPr="003515E1" w:rsidRDefault="00A9285D" w:rsidP="00A9285D">
            <w:pPr>
              <w:jc w:val="center"/>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Confidential</w:t>
            </w:r>
          </w:p>
        </w:tc>
        <w:tc>
          <w:tcPr>
            <w:tcW w:w="0" w:type="auto"/>
            <w:hideMark/>
          </w:tcPr>
          <w:p w14:paraId="0F1A5E7D"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Sensitive business or personal data</w:t>
            </w:r>
          </w:p>
        </w:tc>
        <w:tc>
          <w:tcPr>
            <w:tcW w:w="0" w:type="auto"/>
            <w:hideMark/>
          </w:tcPr>
          <w:p w14:paraId="01A7A18E"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Customer names/addresses</w:t>
            </w:r>
          </w:p>
        </w:tc>
        <w:tc>
          <w:tcPr>
            <w:tcW w:w="0" w:type="auto"/>
            <w:hideMark/>
          </w:tcPr>
          <w:p w14:paraId="16ED721C" w14:textId="77777777" w:rsidR="00A9285D" w:rsidRPr="003515E1" w:rsidRDefault="00A9285D" w:rsidP="00A9285D">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MFA, encrypted storage, audit logging</w:t>
            </w:r>
          </w:p>
        </w:tc>
      </w:tr>
      <w:tr w:rsidR="00A9285D" w:rsidRPr="003515E1" w14:paraId="3B6038AC" w14:textId="77777777" w:rsidTr="00991CE1">
        <w:trPr>
          <w:trHeight w:val="2015"/>
        </w:trPr>
        <w:tc>
          <w:tcPr>
            <w:cnfStyle w:val="001000000000" w:firstRow="0" w:lastRow="0" w:firstColumn="1" w:lastColumn="0" w:oddVBand="0" w:evenVBand="0" w:oddHBand="0" w:evenHBand="0" w:firstRowFirstColumn="0" w:firstRowLastColumn="0" w:lastRowFirstColumn="0" w:lastRowLastColumn="0"/>
            <w:tcW w:w="0" w:type="auto"/>
            <w:hideMark/>
          </w:tcPr>
          <w:p w14:paraId="4CFDCAA1" w14:textId="77777777" w:rsidR="00A9285D" w:rsidRPr="003515E1" w:rsidRDefault="00A9285D" w:rsidP="00A9285D">
            <w:pPr>
              <w:jc w:val="center"/>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Restricted</w:t>
            </w:r>
          </w:p>
        </w:tc>
        <w:tc>
          <w:tcPr>
            <w:tcW w:w="0" w:type="auto"/>
            <w:hideMark/>
          </w:tcPr>
          <w:p w14:paraId="3F5367F1"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Highly sensitive payment and authentication data</w:t>
            </w:r>
          </w:p>
        </w:tc>
        <w:tc>
          <w:tcPr>
            <w:tcW w:w="0" w:type="auto"/>
            <w:hideMark/>
          </w:tcPr>
          <w:p w14:paraId="7DC76023"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Card PANs, CVV, 2FA secrets, keys</w:t>
            </w:r>
          </w:p>
        </w:tc>
        <w:tc>
          <w:tcPr>
            <w:tcW w:w="0" w:type="auto"/>
            <w:hideMark/>
          </w:tcPr>
          <w:p w14:paraId="64C02BE1" w14:textId="77777777" w:rsidR="00A9285D" w:rsidRPr="003515E1" w:rsidRDefault="00A9285D" w:rsidP="00A9285D">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Zero-trust network, Hardware Security Modules (HSM)</w:t>
            </w:r>
          </w:p>
        </w:tc>
      </w:tr>
    </w:tbl>
    <w:p w14:paraId="3299093D" w14:textId="77777777" w:rsidR="004B79A0" w:rsidRPr="004B79A0" w:rsidRDefault="004B79A0" w:rsidP="004B79A0">
      <w:pPr>
        <w:spacing w:before="100" w:beforeAutospacing="1" w:after="100" w:afterAutospacing="1" w:line="240" w:lineRule="auto"/>
        <w:ind w:left="720"/>
        <w:rPr>
          <w:rFonts w:ascii="Open Sans" w:eastAsia="Times New Roman" w:hAnsi="Open Sans" w:cs="Open Sans"/>
          <w:kern w:val="0"/>
          <w:sz w:val="24"/>
          <w:szCs w:val="24"/>
          <w:lang w:eastAsia="en-GB"/>
          <w14:ligatures w14:val="none"/>
        </w:rPr>
      </w:pPr>
    </w:p>
    <w:p w14:paraId="756AE178" w14:textId="4069B6DD" w:rsidR="00A9285D" w:rsidRPr="004D05AA" w:rsidRDefault="00A9285D" w:rsidP="006E6F20">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PCI DSS Alignment: Confidential/Restricted data handling aligns with PCI DSS requirements for e-commerce payment data (</w:t>
      </w:r>
      <w:hyperlink r:id="rId10" w:tooltip="[PDF] Consultation Paper 18/25: Approach to final Regulatory Technical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2058A145" w14:textId="77777777" w:rsidR="00A9285D" w:rsidRPr="004D05AA" w:rsidRDefault="00A9285D" w:rsidP="006E6F20">
      <w:pPr>
        <w:numPr>
          <w:ilvl w:val="0"/>
          <w:numId w:val="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Encryption: All Confidential and Restricted data are encrypted in transit (TLS 1.2+) and at rest (AES-256 or equivalent) (</w:t>
      </w:r>
      <w:hyperlink r:id="rId11" w:tooltip="[PDF] fca-approach-payment-services-electronic-money-december-2018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032FA478" w14:textId="39C8F834" w:rsidR="00A9285D" w:rsidRPr="004D05AA" w:rsidRDefault="00A9285D" w:rsidP="00A9285D">
      <w:pPr>
        <w:spacing w:after="0" w:line="240" w:lineRule="auto"/>
        <w:rPr>
          <w:rFonts w:ascii="Open Sans" w:eastAsia="Times New Roman" w:hAnsi="Open Sans" w:cs="Open Sans"/>
          <w:kern w:val="0"/>
          <w:sz w:val="24"/>
          <w:szCs w:val="24"/>
          <w:lang w:eastAsia="en-GB"/>
          <w14:ligatures w14:val="none"/>
        </w:rPr>
      </w:pPr>
    </w:p>
    <w:p w14:paraId="55C53F3F"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9" w:name="_Toc202874637"/>
      <w:bookmarkStart w:id="10" w:name="_Toc202874800"/>
      <w:bookmarkStart w:id="11" w:name="_Toc204962796"/>
      <w:r w:rsidRPr="003515E1">
        <w:rPr>
          <w:rFonts w:ascii="Open Sans" w:eastAsia="Times New Roman" w:hAnsi="Open Sans" w:cs="Open Sans"/>
          <w:b/>
          <w:bCs/>
          <w:kern w:val="0"/>
          <w:sz w:val="24"/>
          <w:szCs w:val="24"/>
          <w:lang w:eastAsia="en-GB"/>
          <w14:ligatures w14:val="none"/>
        </w:rPr>
        <w:t>3. Access Control and Authorisation</w:t>
      </w:r>
      <w:bookmarkEnd w:id="9"/>
      <w:bookmarkEnd w:id="10"/>
      <w:bookmarkEnd w:id="11"/>
    </w:p>
    <w:p w14:paraId="0B1841D0"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Access to sensitive payment data is strictly controlled via a documented process:</w:t>
      </w:r>
    </w:p>
    <w:p w14:paraId="3CA17E96" w14:textId="77777777" w:rsidR="00A9285D" w:rsidRPr="004D05AA" w:rsidRDefault="00A9285D" w:rsidP="006E6F20">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Access Requests: Staff submit formal requests via our Identity and Access Management (IAM) portal, detailing business justification and data scope.</w:t>
      </w:r>
    </w:p>
    <w:p w14:paraId="1A8218E9" w14:textId="77777777" w:rsidR="00A9285D" w:rsidRPr="003515E1" w:rsidRDefault="00A9285D" w:rsidP="006E6F20">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Managerial Approval: Line managers and the DSO review each request against least-privilege principles</w:t>
      </w:r>
      <w:r w:rsidRPr="003515E1">
        <w:rPr>
          <w:rFonts w:ascii="Open Sans" w:eastAsia="Times New Roman" w:hAnsi="Open Sans" w:cs="Open Sans"/>
          <w:kern w:val="0"/>
          <w:sz w:val="24"/>
          <w:szCs w:val="24"/>
          <w:lang w:eastAsia="en-GB"/>
          <w14:ligatures w14:val="none"/>
        </w:rPr>
        <w:t xml:space="preserve"> before granting rights (</w:t>
      </w:r>
      <w:hyperlink r:id="rId12" w:tooltip="[PDF] Consultation Paper 18/25: Approach to final Regulatory Technical ..." w:history="1">
        <w:r w:rsidRPr="003515E1">
          <w:rPr>
            <w:rFonts w:ascii="Open Sans" w:eastAsia="Times New Roman" w:hAnsi="Open Sans" w:cs="Open Sans"/>
            <w:color w:val="0000FF"/>
            <w:kern w:val="0"/>
            <w:sz w:val="24"/>
            <w:szCs w:val="24"/>
            <w:u w:val="single"/>
            <w:lang w:eastAsia="en-GB"/>
            <w14:ligatures w14:val="none"/>
          </w:rPr>
          <w:t>fca.org.uk</w:t>
        </w:r>
      </w:hyperlink>
      <w:r w:rsidRPr="003515E1">
        <w:rPr>
          <w:rFonts w:ascii="Open Sans" w:eastAsia="Times New Roman" w:hAnsi="Open Sans" w:cs="Open Sans"/>
          <w:kern w:val="0"/>
          <w:sz w:val="24"/>
          <w:szCs w:val="24"/>
          <w:lang w:eastAsia="en-GB"/>
          <w14:ligatures w14:val="none"/>
        </w:rPr>
        <w:t>).</w:t>
      </w:r>
    </w:p>
    <w:p w14:paraId="0C026303" w14:textId="77777777" w:rsidR="00A9285D" w:rsidRPr="004D05AA" w:rsidRDefault="00A9285D" w:rsidP="006E6F20">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lastRenderedPageBreak/>
        <w:t>IAM Enforcement: Role-based access control (RBAC) policies enforce segregation of duties; sensitive operations (e.g. decryption of PANs) require dual approval and just-in-time elevation.</w:t>
      </w:r>
    </w:p>
    <w:p w14:paraId="529D1EB0" w14:textId="77777777" w:rsidR="00A9285D" w:rsidRPr="004D05AA" w:rsidRDefault="00A9285D" w:rsidP="006E6F20">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Credential Management: All credentials for Restricted data access use time-limited, one-time secrets stored in an HSM-backed vault (</w:t>
      </w:r>
      <w:hyperlink r:id="rId13" w:tooltip="[PDF] fca-approach-payment-services-electronic-money-december-2018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70AF3368" w14:textId="77777777" w:rsidR="00A9285D" w:rsidRPr="003515E1" w:rsidRDefault="00A9285D" w:rsidP="006E6F20">
      <w:pPr>
        <w:numPr>
          <w:ilvl w:val="0"/>
          <w:numId w:val="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Periodic Review: Access rights are reviewed quarterly by the Risk and Compliance Team; any stale or inappropriate access</w:t>
      </w:r>
      <w:r w:rsidRPr="003515E1">
        <w:rPr>
          <w:rFonts w:ascii="Open Sans" w:eastAsia="Times New Roman" w:hAnsi="Open Sans" w:cs="Open Sans"/>
          <w:kern w:val="0"/>
          <w:sz w:val="24"/>
          <w:szCs w:val="24"/>
          <w:lang w:eastAsia="en-GB"/>
          <w14:ligatures w14:val="none"/>
        </w:rPr>
        <w:t xml:space="preserve"> is revoked within 5 business days (</w:t>
      </w:r>
      <w:hyperlink r:id="rId14" w:tooltip="[PDF] PS21/19: Changes to the SCA-RTS and to the guidance in 'Payment ..." w:history="1">
        <w:r w:rsidRPr="003515E1">
          <w:rPr>
            <w:rFonts w:ascii="Open Sans" w:eastAsia="Times New Roman" w:hAnsi="Open Sans" w:cs="Open Sans"/>
            <w:color w:val="0000FF"/>
            <w:kern w:val="0"/>
            <w:sz w:val="24"/>
            <w:szCs w:val="24"/>
            <w:u w:val="single"/>
            <w:lang w:eastAsia="en-GB"/>
            <w14:ligatures w14:val="none"/>
          </w:rPr>
          <w:t>fca.org.uk</w:t>
        </w:r>
      </w:hyperlink>
      <w:r w:rsidRPr="003515E1">
        <w:rPr>
          <w:rFonts w:ascii="Open Sans" w:eastAsia="Times New Roman" w:hAnsi="Open Sans" w:cs="Open Sans"/>
          <w:kern w:val="0"/>
          <w:sz w:val="24"/>
          <w:szCs w:val="24"/>
          <w:lang w:eastAsia="en-GB"/>
          <w14:ligatures w14:val="none"/>
        </w:rPr>
        <w:t>).</w:t>
      </w:r>
    </w:p>
    <w:p w14:paraId="0C540516" w14:textId="6DE6B456" w:rsidR="00A9285D" w:rsidRPr="003515E1" w:rsidRDefault="00A9285D" w:rsidP="00A9285D">
      <w:pPr>
        <w:spacing w:after="0" w:line="240" w:lineRule="auto"/>
        <w:rPr>
          <w:rFonts w:ascii="Open Sans" w:eastAsia="Times New Roman" w:hAnsi="Open Sans" w:cs="Open Sans"/>
          <w:kern w:val="0"/>
          <w:sz w:val="24"/>
          <w:szCs w:val="24"/>
          <w:lang w:eastAsia="en-GB"/>
          <w14:ligatures w14:val="none"/>
        </w:rPr>
      </w:pPr>
    </w:p>
    <w:p w14:paraId="0E53CA7A"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2" w:name="_Toc202874638"/>
      <w:bookmarkStart w:id="13" w:name="_Toc202874801"/>
      <w:bookmarkStart w:id="14" w:name="_Toc204962797"/>
      <w:r w:rsidRPr="003515E1">
        <w:rPr>
          <w:rFonts w:ascii="Open Sans" w:eastAsia="Times New Roman" w:hAnsi="Open Sans" w:cs="Open Sans"/>
          <w:b/>
          <w:bCs/>
          <w:kern w:val="0"/>
          <w:sz w:val="24"/>
          <w:szCs w:val="24"/>
          <w:lang w:eastAsia="en-GB"/>
          <w14:ligatures w14:val="none"/>
        </w:rPr>
        <w:t>4. Data Usage and Sharing</w:t>
      </w:r>
      <w:bookmarkEnd w:id="12"/>
      <w:bookmarkEnd w:id="13"/>
      <w:bookmarkEnd w:id="14"/>
    </w:p>
    <w:p w14:paraId="3F8B679D"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We strictly limit internal and external use of payment data to defined purposes:</w:t>
      </w:r>
    </w:p>
    <w:p w14:paraId="6212BBD6" w14:textId="77777777" w:rsidR="00A9285D" w:rsidRPr="004D05AA" w:rsidRDefault="00A9285D" w:rsidP="006E6F20">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Internal Use:</w:t>
      </w:r>
    </w:p>
    <w:p w14:paraId="03BCFDBA" w14:textId="17D30DE7" w:rsidR="00A9285D" w:rsidRPr="004D05AA" w:rsidRDefault="00A9285D" w:rsidP="006E6F20">
      <w:pPr>
        <w:numPr>
          <w:ilvl w:val="1"/>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Authori</w:t>
      </w:r>
      <w:r w:rsidR="006E6F20">
        <w:rPr>
          <w:rFonts w:ascii="Open Sans" w:eastAsia="Times New Roman" w:hAnsi="Open Sans" w:cs="Open Sans"/>
          <w:kern w:val="0"/>
          <w:sz w:val="24"/>
          <w:szCs w:val="24"/>
          <w:lang w:eastAsia="en-GB"/>
          <w14:ligatures w14:val="none"/>
        </w:rPr>
        <w:t>s</w:t>
      </w:r>
      <w:r w:rsidRPr="004D05AA">
        <w:rPr>
          <w:rFonts w:ascii="Open Sans" w:eastAsia="Times New Roman" w:hAnsi="Open Sans" w:cs="Open Sans"/>
          <w:kern w:val="0"/>
          <w:sz w:val="24"/>
          <w:szCs w:val="24"/>
          <w:lang w:eastAsia="en-GB"/>
          <w14:ligatures w14:val="none"/>
        </w:rPr>
        <w:t>ed Systems Only: Data is accessible solely via our secure backend services (APIs), which enforce RBAC and encrypt all communications.</w:t>
      </w:r>
    </w:p>
    <w:p w14:paraId="045E7B27" w14:textId="77777777" w:rsidR="00A9285D" w:rsidRPr="004D05AA" w:rsidRDefault="00A9285D" w:rsidP="006E6F20">
      <w:pPr>
        <w:numPr>
          <w:ilvl w:val="1"/>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Audit Trails: Every read/write operation on Confidential/Restricted data is logged with user ID, timestamp, and purpose.</w:t>
      </w:r>
    </w:p>
    <w:p w14:paraId="37A72B95" w14:textId="77777777" w:rsidR="00A9285D" w:rsidRPr="004D05AA" w:rsidRDefault="00A9285D" w:rsidP="006E6F20">
      <w:pPr>
        <w:numPr>
          <w:ilvl w:val="0"/>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External Sharing:</w:t>
      </w:r>
    </w:p>
    <w:p w14:paraId="233FD79C" w14:textId="77777777" w:rsidR="00A9285D" w:rsidRPr="004D05AA" w:rsidRDefault="00A9285D" w:rsidP="006E6F20">
      <w:pPr>
        <w:numPr>
          <w:ilvl w:val="1"/>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Third-Party Processors: Only vendors with a valid Data Processing Agreement (DPA) and proven security accreditation (e.g. ISO 27001, PCI DSS) may handle payment data.</w:t>
      </w:r>
    </w:p>
    <w:p w14:paraId="633F4566" w14:textId="77777777" w:rsidR="00A9285D" w:rsidRPr="004D05AA" w:rsidRDefault="00A9285D" w:rsidP="006E6F20">
      <w:pPr>
        <w:numPr>
          <w:ilvl w:val="1"/>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Information Minimisation: Shared data is limited to exactly what is needed (e.g. tokenised PANs rather than full PANs for fraud analysis) (</w:t>
      </w:r>
      <w:hyperlink r:id="rId15" w:tooltip="[PDF] Consultation Paper 18/25: Approach to final Regulatory Technical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0D565012" w14:textId="77777777" w:rsidR="00A9285D" w:rsidRPr="003515E1" w:rsidRDefault="00A9285D" w:rsidP="006E6F20">
      <w:pPr>
        <w:numPr>
          <w:ilvl w:val="1"/>
          <w:numId w:val="4"/>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Secure Channels: All external transfers use mutually authenticated TLS with certificate pinning; off-site backups held by third parties are encrypted and undergo</w:t>
      </w:r>
      <w:r w:rsidRPr="003515E1">
        <w:rPr>
          <w:rFonts w:ascii="Open Sans" w:eastAsia="Times New Roman" w:hAnsi="Open Sans" w:cs="Open Sans"/>
          <w:kern w:val="0"/>
          <w:sz w:val="24"/>
          <w:szCs w:val="24"/>
          <w:lang w:eastAsia="en-GB"/>
          <w14:ligatures w14:val="none"/>
        </w:rPr>
        <w:t xml:space="preserve"> annual due diligence (</w:t>
      </w:r>
      <w:hyperlink r:id="rId16" w:tooltip="[PDF] fca-approach-payment-services-electronic-money-december-2018 ..." w:history="1">
        <w:r w:rsidRPr="003515E1">
          <w:rPr>
            <w:rFonts w:ascii="Open Sans" w:eastAsia="Times New Roman" w:hAnsi="Open Sans" w:cs="Open Sans"/>
            <w:color w:val="0000FF"/>
            <w:kern w:val="0"/>
            <w:sz w:val="24"/>
            <w:szCs w:val="24"/>
            <w:u w:val="single"/>
            <w:lang w:eastAsia="en-GB"/>
            <w14:ligatures w14:val="none"/>
          </w:rPr>
          <w:t>fca.org.uk</w:t>
        </w:r>
      </w:hyperlink>
      <w:r w:rsidRPr="003515E1">
        <w:rPr>
          <w:rFonts w:ascii="Open Sans" w:eastAsia="Times New Roman" w:hAnsi="Open Sans" w:cs="Open Sans"/>
          <w:kern w:val="0"/>
          <w:sz w:val="24"/>
          <w:szCs w:val="24"/>
          <w:lang w:eastAsia="en-GB"/>
          <w14:ligatures w14:val="none"/>
        </w:rPr>
        <w:t>).</w:t>
      </w:r>
    </w:p>
    <w:p w14:paraId="434A793D" w14:textId="46A13217" w:rsidR="00A9285D" w:rsidRDefault="00A9285D" w:rsidP="006E6F20">
      <w:pPr>
        <w:spacing w:after="0" w:line="240" w:lineRule="auto"/>
        <w:jc w:val="both"/>
        <w:rPr>
          <w:rFonts w:ascii="Open Sans" w:eastAsia="Times New Roman" w:hAnsi="Open Sans" w:cs="Open Sans"/>
          <w:kern w:val="0"/>
          <w:sz w:val="24"/>
          <w:szCs w:val="24"/>
          <w:lang w:eastAsia="en-GB"/>
          <w14:ligatures w14:val="none"/>
        </w:rPr>
      </w:pPr>
    </w:p>
    <w:p w14:paraId="1B4C1D82"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02CC440E"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787C34E0"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02238FC4"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294A0DE9"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5A8F866C"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5BB8F16E"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0F5319FF" w14:textId="77777777" w:rsidR="004D05AA" w:rsidRDefault="004D05AA" w:rsidP="00A9285D">
      <w:pPr>
        <w:spacing w:after="0" w:line="240" w:lineRule="auto"/>
        <w:rPr>
          <w:rFonts w:ascii="Open Sans" w:eastAsia="Times New Roman" w:hAnsi="Open Sans" w:cs="Open Sans"/>
          <w:kern w:val="0"/>
          <w:sz w:val="24"/>
          <w:szCs w:val="24"/>
          <w:lang w:eastAsia="en-GB"/>
          <w14:ligatures w14:val="none"/>
        </w:rPr>
      </w:pPr>
    </w:p>
    <w:p w14:paraId="36B17B76" w14:textId="77777777" w:rsidR="004D05AA" w:rsidRPr="003515E1" w:rsidRDefault="004D05AA" w:rsidP="00A9285D">
      <w:pPr>
        <w:spacing w:after="0" w:line="240" w:lineRule="auto"/>
        <w:rPr>
          <w:rFonts w:ascii="Open Sans" w:eastAsia="Times New Roman" w:hAnsi="Open Sans" w:cs="Open Sans"/>
          <w:kern w:val="0"/>
          <w:sz w:val="24"/>
          <w:szCs w:val="24"/>
          <w:lang w:eastAsia="en-GB"/>
          <w14:ligatures w14:val="none"/>
        </w:rPr>
      </w:pPr>
    </w:p>
    <w:p w14:paraId="1B19E391"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5" w:name="_Toc202874639"/>
      <w:bookmarkStart w:id="16" w:name="_Toc202874802"/>
      <w:bookmarkStart w:id="17" w:name="_Toc204962798"/>
      <w:r w:rsidRPr="003515E1">
        <w:rPr>
          <w:rFonts w:ascii="Open Sans" w:eastAsia="Times New Roman" w:hAnsi="Open Sans" w:cs="Open Sans"/>
          <w:b/>
          <w:bCs/>
          <w:kern w:val="0"/>
          <w:sz w:val="24"/>
          <w:szCs w:val="24"/>
          <w:lang w:eastAsia="en-GB"/>
          <w14:ligatures w14:val="none"/>
        </w:rPr>
        <w:lastRenderedPageBreak/>
        <w:t>5. Monitoring, Logging and Tracking</w:t>
      </w:r>
      <w:bookmarkEnd w:id="15"/>
      <w:bookmarkEnd w:id="16"/>
      <w:bookmarkEnd w:id="17"/>
    </w:p>
    <w:p w14:paraId="4B3BF350"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Continuous monitoring ensures rapid detection of anomalous access or data movements:</w:t>
      </w:r>
    </w:p>
    <w:p w14:paraId="55F22265" w14:textId="77777777" w:rsidR="00A9285D" w:rsidRPr="004D05AA" w:rsidRDefault="00A9285D" w:rsidP="006E6F20">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Central SIEM: All logs (access, application, system, network) are forwarded to a Security Information and Event Management (SIEM) system, monitored 24/7 for indicators of compromise (</w:t>
      </w:r>
      <w:hyperlink r:id="rId17" w:tooltip="[PDF] PS21/19: Changes to the SCA-RTS and to the guidance in 'Payment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451E70D5" w14:textId="349B6198" w:rsidR="00A9285D" w:rsidRPr="004D05AA" w:rsidRDefault="00A9285D" w:rsidP="006E6F20">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 xml:space="preserve">User </w:t>
      </w:r>
      <w:r w:rsidR="004D05AA" w:rsidRPr="004D05AA">
        <w:rPr>
          <w:rFonts w:ascii="Open Sans" w:eastAsia="Times New Roman" w:hAnsi="Open Sans" w:cs="Open Sans"/>
          <w:kern w:val="0"/>
          <w:sz w:val="24"/>
          <w:szCs w:val="24"/>
          <w:lang w:eastAsia="en-GB"/>
          <w14:ligatures w14:val="none"/>
        </w:rPr>
        <w:t>Behaviour</w:t>
      </w:r>
      <w:r w:rsidRPr="004D05AA">
        <w:rPr>
          <w:rFonts w:ascii="Open Sans" w:eastAsia="Times New Roman" w:hAnsi="Open Sans" w:cs="Open Sans"/>
          <w:kern w:val="0"/>
          <w:sz w:val="24"/>
          <w:szCs w:val="24"/>
          <w:lang w:eastAsia="en-GB"/>
          <w14:ligatures w14:val="none"/>
        </w:rPr>
        <w:t xml:space="preserve"> Analytics (UBA): The SIEM includes UBA capabilities to flag deviations from normal usage patterns (e.g. unusually large data exports or off-hours access) (</w:t>
      </w:r>
      <w:hyperlink r:id="rId18" w:tooltip="[PDF] Consultation Paper 18/25: Approach to final Regulatory Technical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3BDB63AF" w14:textId="77777777" w:rsidR="00A9285D" w:rsidRPr="004D05AA" w:rsidRDefault="00A9285D" w:rsidP="006E6F20">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Immutable Audit Logs: Access logs for Restricted data are stored in write-once, read-many (WORM) storage for at least five years in compliance with FCA record-keeping rules (</w:t>
      </w:r>
      <w:hyperlink r:id="rId19" w:tooltip="[PDF] fca-approach-payment-services-electronic-money-2017-november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6A8C1547" w14:textId="77777777" w:rsidR="00A9285D" w:rsidRPr="004D05AA" w:rsidRDefault="00A9285D" w:rsidP="006E6F20">
      <w:pPr>
        <w:numPr>
          <w:ilvl w:val="0"/>
          <w:numId w:val="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KRI Dashboard: Key Risk Indicators (e.g. failed login attempts, role elevation requests) are reported monthly to the Board and DSO (</w:t>
      </w:r>
      <w:hyperlink r:id="rId20" w:tooltip="[PDF] Payment Services and Electronic Money – Our Approach | FCA"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1B19236E" w14:textId="310B7718" w:rsidR="00A9285D" w:rsidRPr="003515E1" w:rsidRDefault="00A9285D" w:rsidP="00A9285D">
      <w:pPr>
        <w:spacing w:after="0" w:line="240" w:lineRule="auto"/>
        <w:rPr>
          <w:rFonts w:ascii="Open Sans" w:eastAsia="Times New Roman" w:hAnsi="Open Sans" w:cs="Open Sans"/>
          <w:kern w:val="0"/>
          <w:sz w:val="24"/>
          <w:szCs w:val="24"/>
          <w:lang w:eastAsia="en-GB"/>
          <w14:ligatures w14:val="none"/>
        </w:rPr>
      </w:pPr>
    </w:p>
    <w:p w14:paraId="2E70F63F"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18" w:name="_Toc202874640"/>
      <w:bookmarkStart w:id="19" w:name="_Toc202874803"/>
      <w:bookmarkStart w:id="20" w:name="_Toc204962799"/>
      <w:r w:rsidRPr="003515E1">
        <w:rPr>
          <w:rFonts w:ascii="Open Sans" w:eastAsia="Times New Roman" w:hAnsi="Open Sans" w:cs="Open Sans"/>
          <w:b/>
          <w:bCs/>
          <w:kern w:val="0"/>
          <w:sz w:val="24"/>
          <w:szCs w:val="24"/>
          <w:lang w:eastAsia="en-GB"/>
          <w14:ligatures w14:val="none"/>
        </w:rPr>
        <w:t>6. Incident Detection and Response</w:t>
      </w:r>
      <w:bookmarkEnd w:id="18"/>
      <w:bookmarkEnd w:id="19"/>
      <w:bookmarkEnd w:id="20"/>
    </w:p>
    <w:p w14:paraId="3EA3AD12" w14:textId="77777777" w:rsidR="00A9285D" w:rsidRPr="004D05AA"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We maintain an Incident Response Plan (IRP) for data breaches:</w:t>
      </w:r>
    </w:p>
    <w:p w14:paraId="283371BE" w14:textId="77777777" w:rsidR="00A9285D" w:rsidRPr="004D05AA" w:rsidRDefault="00A9285D" w:rsidP="006E6F2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21" w:name="_Toc202874641"/>
      <w:bookmarkStart w:id="22" w:name="_Toc202874804"/>
      <w:bookmarkStart w:id="23" w:name="_Toc204962800"/>
      <w:r w:rsidRPr="004D05AA">
        <w:rPr>
          <w:rFonts w:ascii="Open Sans" w:eastAsia="Times New Roman" w:hAnsi="Open Sans" w:cs="Open Sans"/>
          <w:kern w:val="0"/>
          <w:sz w:val="24"/>
          <w:szCs w:val="24"/>
          <w:lang w:eastAsia="en-GB"/>
          <w14:ligatures w14:val="none"/>
        </w:rPr>
        <w:t>6.1 Detection</w:t>
      </w:r>
      <w:bookmarkEnd w:id="21"/>
      <w:bookmarkEnd w:id="22"/>
      <w:bookmarkEnd w:id="23"/>
    </w:p>
    <w:p w14:paraId="589F5692" w14:textId="77777777" w:rsidR="00A9285D" w:rsidRPr="004D05AA" w:rsidRDefault="00A9285D" w:rsidP="006E6F20">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Automated Alerts: The SIEM triggers alerts for suspected data exfiltration (e.g. large encrypted data streams, anomalous API calls) (</w:t>
      </w:r>
      <w:hyperlink r:id="rId21" w:tooltip="[PDF] PS21/19: Changes to the SCA-RTS and to the guidance in 'Payment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73C902FE" w14:textId="77777777" w:rsidR="00A9285D" w:rsidRPr="004D05AA" w:rsidRDefault="00A9285D" w:rsidP="006E6F20">
      <w:pPr>
        <w:numPr>
          <w:ilvl w:val="0"/>
          <w:numId w:val="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Vulnerability Scans &amp; Pen Tests: Quarterly internal scans and annual third-party penetration tests validate our controls and uncover weaknesses (</w:t>
      </w:r>
      <w:hyperlink r:id="rId22" w:tooltip="[PDF] Consultation Paper 18/25: Approach to final Regulatory Technical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0184AFF5" w14:textId="77777777" w:rsidR="00A9285D" w:rsidRPr="004D05AA" w:rsidRDefault="00A9285D" w:rsidP="006E6F2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24" w:name="_Toc202874642"/>
      <w:bookmarkStart w:id="25" w:name="_Toc202874805"/>
      <w:bookmarkStart w:id="26" w:name="_Toc204962801"/>
      <w:r w:rsidRPr="004D05AA">
        <w:rPr>
          <w:rFonts w:ascii="Open Sans" w:eastAsia="Times New Roman" w:hAnsi="Open Sans" w:cs="Open Sans"/>
          <w:kern w:val="0"/>
          <w:sz w:val="24"/>
          <w:szCs w:val="24"/>
          <w:lang w:eastAsia="en-GB"/>
          <w14:ligatures w14:val="none"/>
        </w:rPr>
        <w:t>6.2 Response</w:t>
      </w:r>
      <w:bookmarkEnd w:id="24"/>
      <w:bookmarkEnd w:id="25"/>
      <w:bookmarkEnd w:id="26"/>
    </w:p>
    <w:p w14:paraId="5A5EE9D9" w14:textId="77777777" w:rsidR="00A9285D" w:rsidRPr="004D05AA" w:rsidRDefault="00A9285D" w:rsidP="006E6F2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Initial Triage: An incident is logged in our ticketing system, with a severity rating and assigned to the IR Team within 15 minutes (</w:t>
      </w:r>
      <w:hyperlink r:id="rId23" w:tooltip="[PDF] PS21/19: Changes to the SCA-RTS and to the guidance in 'Payment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063E0B3E" w14:textId="77777777" w:rsidR="00A9285D" w:rsidRPr="004D05AA" w:rsidRDefault="00A9285D" w:rsidP="006E6F2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Containment &amp; Eradication: Affected systems are isolated; compromised credentials are revoked; forensics evidence preserved.</w:t>
      </w:r>
    </w:p>
    <w:p w14:paraId="15420D90" w14:textId="77777777" w:rsidR="00A9285D" w:rsidRPr="004D05AA" w:rsidRDefault="00A9285D" w:rsidP="006E6F2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Regulatory Notification: If payment data is breached, FCA and ICO notifications occur within 72 hours as per GDPR and PSR requirements; customers are informed promptly if their data is impacted (</w:t>
      </w:r>
      <w:hyperlink r:id="rId24" w:tooltip="[PDF] CP21/3: Changes to the SCA-RTS and to the guidance in 'Payment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34369BB6" w14:textId="047842D4" w:rsidR="00A9285D" w:rsidRDefault="00A9285D" w:rsidP="006E6F2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Root Cause Analysis &amp; Remediation: A</w:t>
      </w:r>
      <w:r w:rsidRPr="003515E1">
        <w:rPr>
          <w:rFonts w:ascii="Open Sans" w:eastAsia="Times New Roman" w:hAnsi="Open Sans" w:cs="Open Sans"/>
          <w:kern w:val="0"/>
          <w:sz w:val="24"/>
          <w:szCs w:val="24"/>
          <w:lang w:eastAsia="en-GB"/>
          <w14:ligatures w14:val="none"/>
        </w:rPr>
        <w:t xml:space="preserve"> formal post-mortem identifies corrective actions; IRP and DLP rules are updated accordingly.</w:t>
      </w:r>
    </w:p>
    <w:p w14:paraId="2B8443C4" w14:textId="77777777" w:rsidR="006E6F20" w:rsidRPr="004D05AA" w:rsidRDefault="006E6F20" w:rsidP="006E6F20">
      <w:pPr>
        <w:spacing w:before="100" w:beforeAutospacing="1" w:after="100" w:afterAutospacing="1" w:line="240" w:lineRule="auto"/>
        <w:ind w:left="720"/>
        <w:jc w:val="both"/>
        <w:rPr>
          <w:rFonts w:ascii="Open Sans" w:eastAsia="Times New Roman" w:hAnsi="Open Sans" w:cs="Open Sans"/>
          <w:kern w:val="0"/>
          <w:sz w:val="24"/>
          <w:szCs w:val="24"/>
          <w:lang w:eastAsia="en-GB"/>
          <w14:ligatures w14:val="none"/>
        </w:rPr>
      </w:pPr>
    </w:p>
    <w:p w14:paraId="2E00696A"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27" w:name="_Toc202874643"/>
      <w:bookmarkStart w:id="28" w:name="_Toc202874806"/>
      <w:bookmarkStart w:id="29" w:name="_Toc204962802"/>
      <w:r w:rsidRPr="003515E1">
        <w:rPr>
          <w:rFonts w:ascii="Open Sans" w:eastAsia="Times New Roman" w:hAnsi="Open Sans" w:cs="Open Sans"/>
          <w:b/>
          <w:bCs/>
          <w:kern w:val="0"/>
          <w:sz w:val="24"/>
          <w:szCs w:val="24"/>
          <w:lang w:eastAsia="en-GB"/>
          <w14:ligatures w14:val="none"/>
        </w:rPr>
        <w:lastRenderedPageBreak/>
        <w:t>7. Testing, Review and Continuous Improvement</w:t>
      </w:r>
      <w:bookmarkEnd w:id="27"/>
      <w:bookmarkEnd w:id="28"/>
      <w:bookmarkEnd w:id="29"/>
    </w:p>
    <w:p w14:paraId="60D8C83F"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To ensure resilience, we regularly validate our controls:</w:t>
      </w:r>
    </w:p>
    <w:p w14:paraId="7786F053" w14:textId="77777777" w:rsidR="00A9285D" w:rsidRPr="004D05AA" w:rsidRDefault="00A9285D" w:rsidP="006E6F2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Tabletop Exercises: Semi-annual drills of data breach scenarios involving key stakeholders to test communication and escalation (</w:t>
      </w:r>
      <w:hyperlink r:id="rId25" w:tooltip="[PDF] PS21/19: Changes to the SCA-RTS and to the guidance in 'Payment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0EBE9F62" w14:textId="77777777" w:rsidR="00A9285D" w:rsidRPr="004D05AA" w:rsidRDefault="00A9285D" w:rsidP="006E6F2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Live Failover Drills: Quarterly recovery tests of encrypted backups, validating RTO/RPO for critical databases (</w:t>
      </w:r>
      <w:hyperlink r:id="rId26" w:tooltip="[PDF] fca-approach-payment-services-electronic-money-december-2018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41F53690" w14:textId="77777777" w:rsidR="00A9285D" w:rsidRPr="004D05AA" w:rsidRDefault="00A9285D" w:rsidP="006E6F2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Policy Review: Annual policy review by the DSO, incorporating lessons from incidents, regulatory changes, and emerging threats.</w:t>
      </w:r>
    </w:p>
    <w:p w14:paraId="773B027C" w14:textId="77777777" w:rsidR="00A9285D" w:rsidRPr="003515E1" w:rsidRDefault="00A9285D" w:rsidP="006E6F2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Training &amp; Awareness: Mandatory annual security training for all staff and agents (delivered by ABM Global) on data handling, phishing, and breach reporting procedures</w:t>
      </w:r>
      <w:r w:rsidRPr="003515E1">
        <w:rPr>
          <w:rFonts w:ascii="Open Sans" w:eastAsia="Times New Roman" w:hAnsi="Open Sans" w:cs="Open Sans"/>
          <w:kern w:val="0"/>
          <w:sz w:val="24"/>
          <w:szCs w:val="24"/>
          <w:lang w:eastAsia="en-GB"/>
          <w14:ligatures w14:val="none"/>
        </w:rPr>
        <w:t>.</w:t>
      </w:r>
    </w:p>
    <w:p w14:paraId="2DDB3686" w14:textId="22B23AD2" w:rsidR="00A9285D" w:rsidRDefault="00A9285D" w:rsidP="00A9285D">
      <w:pPr>
        <w:spacing w:after="0" w:line="240" w:lineRule="auto"/>
        <w:rPr>
          <w:rFonts w:ascii="Open Sans" w:eastAsia="Times New Roman" w:hAnsi="Open Sans" w:cs="Open Sans"/>
          <w:kern w:val="0"/>
          <w:sz w:val="24"/>
          <w:szCs w:val="24"/>
          <w:lang w:eastAsia="en-GB"/>
          <w14:ligatures w14:val="none"/>
        </w:rPr>
      </w:pPr>
    </w:p>
    <w:p w14:paraId="56FB1CCC" w14:textId="77777777" w:rsidR="00991CE1" w:rsidRPr="003515E1" w:rsidRDefault="00991CE1" w:rsidP="00A9285D">
      <w:pPr>
        <w:spacing w:after="0" w:line="240" w:lineRule="auto"/>
        <w:rPr>
          <w:rFonts w:ascii="Open Sans" w:eastAsia="Times New Roman" w:hAnsi="Open Sans" w:cs="Open Sans"/>
          <w:kern w:val="0"/>
          <w:sz w:val="24"/>
          <w:szCs w:val="24"/>
          <w:lang w:eastAsia="en-GB"/>
          <w14:ligatures w14:val="none"/>
        </w:rPr>
      </w:pPr>
    </w:p>
    <w:p w14:paraId="4DC786AC" w14:textId="77777777" w:rsidR="00A9285D" w:rsidRPr="003515E1" w:rsidRDefault="00A9285D" w:rsidP="00A9285D">
      <w:pPr>
        <w:spacing w:before="100" w:beforeAutospacing="1" w:after="100" w:afterAutospacing="1" w:line="240" w:lineRule="auto"/>
        <w:outlineLvl w:val="1"/>
        <w:rPr>
          <w:rFonts w:ascii="Open Sans" w:eastAsia="Times New Roman" w:hAnsi="Open Sans" w:cs="Open Sans"/>
          <w:b/>
          <w:bCs/>
          <w:kern w:val="0"/>
          <w:sz w:val="24"/>
          <w:szCs w:val="24"/>
          <w:lang w:eastAsia="en-GB"/>
          <w14:ligatures w14:val="none"/>
        </w:rPr>
      </w:pPr>
      <w:bookmarkStart w:id="30" w:name="_Toc202874644"/>
      <w:bookmarkStart w:id="31" w:name="_Toc202874807"/>
      <w:bookmarkStart w:id="32" w:name="_Toc204962803"/>
      <w:r w:rsidRPr="003515E1">
        <w:rPr>
          <w:rFonts w:ascii="Open Sans" w:eastAsia="Times New Roman" w:hAnsi="Open Sans" w:cs="Open Sans"/>
          <w:b/>
          <w:bCs/>
          <w:kern w:val="0"/>
          <w:sz w:val="24"/>
          <w:szCs w:val="24"/>
          <w:lang w:eastAsia="en-GB"/>
          <w14:ligatures w14:val="none"/>
        </w:rPr>
        <w:t>8. Record Retention and Audit</w:t>
      </w:r>
      <w:bookmarkEnd w:id="30"/>
      <w:bookmarkEnd w:id="31"/>
      <w:bookmarkEnd w:id="32"/>
    </w:p>
    <w:p w14:paraId="7A866613" w14:textId="77777777" w:rsidR="00A9285D" w:rsidRPr="003515E1" w:rsidRDefault="00A9285D" w:rsidP="006E6F2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3515E1">
        <w:rPr>
          <w:rFonts w:ascii="Open Sans" w:eastAsia="Times New Roman" w:hAnsi="Open Sans" w:cs="Open Sans"/>
          <w:kern w:val="0"/>
          <w:sz w:val="24"/>
          <w:szCs w:val="24"/>
          <w:lang w:eastAsia="en-GB"/>
          <w14:ligatures w14:val="none"/>
        </w:rPr>
        <w:t>We maintain a complete audit trail to satisfy FCA supervision and audit:</w:t>
      </w:r>
    </w:p>
    <w:p w14:paraId="1106CED5" w14:textId="77777777" w:rsidR="00A9285D" w:rsidRPr="004D05AA" w:rsidRDefault="00A9285D" w:rsidP="006E6F20">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Retention Periods: All logs, incident records, and access approvals are retained for at least five years in encrypted, access-controlled archives (</w:t>
      </w:r>
      <w:hyperlink r:id="rId27" w:tooltip="[PDF] fca-approach-payment-services-electronic-money-2017-november ..." w:history="1">
        <w:r w:rsidRPr="004D05AA">
          <w:rPr>
            <w:rFonts w:ascii="Open Sans" w:eastAsia="Times New Roman" w:hAnsi="Open Sans" w:cs="Open Sans"/>
            <w:color w:val="0000FF"/>
            <w:kern w:val="0"/>
            <w:sz w:val="24"/>
            <w:szCs w:val="24"/>
            <w:u w:val="single"/>
            <w:lang w:eastAsia="en-GB"/>
            <w14:ligatures w14:val="none"/>
          </w:rPr>
          <w:t>fca.org.uk</w:t>
        </w:r>
      </w:hyperlink>
      <w:r w:rsidRPr="004D05AA">
        <w:rPr>
          <w:rFonts w:ascii="Open Sans" w:eastAsia="Times New Roman" w:hAnsi="Open Sans" w:cs="Open Sans"/>
          <w:kern w:val="0"/>
          <w:sz w:val="24"/>
          <w:szCs w:val="24"/>
          <w:lang w:eastAsia="en-GB"/>
          <w14:ligatures w14:val="none"/>
        </w:rPr>
        <w:t>).</w:t>
      </w:r>
    </w:p>
    <w:p w14:paraId="4D397275" w14:textId="77777777" w:rsidR="00A9285D" w:rsidRPr="004D05AA" w:rsidRDefault="00A9285D" w:rsidP="006E6F20">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Audit Access: Internal and external auditors may review controls, logs and incident records under our Audit &amp; Inspection Rights clauses.</w:t>
      </w:r>
    </w:p>
    <w:p w14:paraId="2FE8CB5F" w14:textId="77777777" w:rsidR="00A9285D" w:rsidRPr="004D05AA" w:rsidRDefault="00A9285D" w:rsidP="006E6F20">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4D05AA">
        <w:rPr>
          <w:rFonts w:ascii="Open Sans" w:eastAsia="Times New Roman" w:hAnsi="Open Sans" w:cs="Open Sans"/>
          <w:kern w:val="0"/>
          <w:sz w:val="24"/>
          <w:szCs w:val="24"/>
          <w:lang w:eastAsia="en-GB"/>
          <w14:ligatures w14:val="none"/>
        </w:rPr>
        <w:t>Regulatory Reporting: We report key metrics and any serious breaches to the FCA through RegData and Connect as required.</w:t>
      </w:r>
    </w:p>
    <w:p w14:paraId="0F85553F" w14:textId="77777777" w:rsidR="00572695" w:rsidRPr="004D05AA" w:rsidRDefault="00572695">
      <w:pPr>
        <w:rPr>
          <w:rFonts w:ascii="Open Sans" w:hAnsi="Open Sans" w:cs="Open Sans"/>
          <w:sz w:val="24"/>
          <w:szCs w:val="24"/>
        </w:rPr>
      </w:pPr>
    </w:p>
    <w:sectPr w:rsidR="00572695" w:rsidRPr="004D05AA" w:rsidSect="003515E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A48"/>
    <w:multiLevelType w:val="multilevel"/>
    <w:tmpl w:val="3AA0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A64"/>
    <w:multiLevelType w:val="multilevel"/>
    <w:tmpl w:val="EBD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A70D5"/>
    <w:multiLevelType w:val="multilevel"/>
    <w:tmpl w:val="EF96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1274B"/>
    <w:multiLevelType w:val="multilevel"/>
    <w:tmpl w:val="26D6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9307E"/>
    <w:multiLevelType w:val="multilevel"/>
    <w:tmpl w:val="39EEB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055B1"/>
    <w:multiLevelType w:val="multilevel"/>
    <w:tmpl w:val="7E0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94335"/>
    <w:multiLevelType w:val="multilevel"/>
    <w:tmpl w:val="04B0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903C3"/>
    <w:multiLevelType w:val="multilevel"/>
    <w:tmpl w:val="004A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E3362"/>
    <w:multiLevelType w:val="multilevel"/>
    <w:tmpl w:val="C62E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94909">
    <w:abstractNumId w:val="0"/>
  </w:num>
  <w:num w:numId="2" w16cid:durableId="640232839">
    <w:abstractNumId w:val="3"/>
  </w:num>
  <w:num w:numId="3" w16cid:durableId="252278549">
    <w:abstractNumId w:val="7"/>
  </w:num>
  <w:num w:numId="4" w16cid:durableId="1091003084">
    <w:abstractNumId w:val="4"/>
  </w:num>
  <w:num w:numId="5" w16cid:durableId="1235238465">
    <w:abstractNumId w:val="8"/>
  </w:num>
  <w:num w:numId="6" w16cid:durableId="752122104">
    <w:abstractNumId w:val="1"/>
  </w:num>
  <w:num w:numId="7" w16cid:durableId="1012563748">
    <w:abstractNumId w:val="2"/>
  </w:num>
  <w:num w:numId="8" w16cid:durableId="1834102218">
    <w:abstractNumId w:val="6"/>
  </w:num>
  <w:num w:numId="9" w16cid:durableId="865361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DE2"/>
    <w:rsid w:val="00105098"/>
    <w:rsid w:val="001939AE"/>
    <w:rsid w:val="001E6F60"/>
    <w:rsid w:val="0023336E"/>
    <w:rsid w:val="003515E1"/>
    <w:rsid w:val="004B79A0"/>
    <w:rsid w:val="004D05AA"/>
    <w:rsid w:val="00572695"/>
    <w:rsid w:val="00687C39"/>
    <w:rsid w:val="006E6F20"/>
    <w:rsid w:val="007B64AE"/>
    <w:rsid w:val="00960731"/>
    <w:rsid w:val="00991CE1"/>
    <w:rsid w:val="009F4A8E"/>
    <w:rsid w:val="00A9285D"/>
    <w:rsid w:val="00D904A2"/>
    <w:rsid w:val="00E50DE2"/>
    <w:rsid w:val="00EB1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717B"/>
  <w15:chartTrackingRefBased/>
  <w15:docId w15:val="{9D36DB8B-4DC0-4C53-9954-D4464BE3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DE2"/>
    <w:rPr>
      <w:rFonts w:eastAsiaTheme="majorEastAsia" w:cstheme="majorBidi"/>
      <w:color w:val="272727" w:themeColor="text1" w:themeTint="D8"/>
    </w:rPr>
  </w:style>
  <w:style w:type="paragraph" w:styleId="Title">
    <w:name w:val="Title"/>
    <w:basedOn w:val="Normal"/>
    <w:next w:val="Normal"/>
    <w:link w:val="TitleChar"/>
    <w:uiPriority w:val="10"/>
    <w:qFormat/>
    <w:rsid w:val="00E50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DE2"/>
    <w:pPr>
      <w:spacing w:before="160"/>
      <w:jc w:val="center"/>
    </w:pPr>
    <w:rPr>
      <w:i/>
      <w:iCs/>
      <w:color w:val="404040" w:themeColor="text1" w:themeTint="BF"/>
    </w:rPr>
  </w:style>
  <w:style w:type="character" w:customStyle="1" w:styleId="QuoteChar">
    <w:name w:val="Quote Char"/>
    <w:basedOn w:val="DefaultParagraphFont"/>
    <w:link w:val="Quote"/>
    <w:uiPriority w:val="29"/>
    <w:rsid w:val="00E50DE2"/>
    <w:rPr>
      <w:i/>
      <w:iCs/>
      <w:color w:val="404040" w:themeColor="text1" w:themeTint="BF"/>
    </w:rPr>
  </w:style>
  <w:style w:type="paragraph" w:styleId="ListParagraph">
    <w:name w:val="List Paragraph"/>
    <w:basedOn w:val="Normal"/>
    <w:uiPriority w:val="34"/>
    <w:qFormat/>
    <w:rsid w:val="00E50DE2"/>
    <w:pPr>
      <w:ind w:left="720"/>
      <w:contextualSpacing/>
    </w:pPr>
  </w:style>
  <w:style w:type="character" w:styleId="IntenseEmphasis">
    <w:name w:val="Intense Emphasis"/>
    <w:basedOn w:val="DefaultParagraphFont"/>
    <w:uiPriority w:val="21"/>
    <w:qFormat/>
    <w:rsid w:val="00E50DE2"/>
    <w:rPr>
      <w:i/>
      <w:iCs/>
      <w:color w:val="0F4761" w:themeColor="accent1" w:themeShade="BF"/>
    </w:rPr>
  </w:style>
  <w:style w:type="paragraph" w:styleId="IntenseQuote">
    <w:name w:val="Intense Quote"/>
    <w:basedOn w:val="Normal"/>
    <w:next w:val="Normal"/>
    <w:link w:val="IntenseQuoteChar"/>
    <w:uiPriority w:val="30"/>
    <w:qFormat/>
    <w:rsid w:val="00E50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DE2"/>
    <w:rPr>
      <w:i/>
      <w:iCs/>
      <w:color w:val="0F4761" w:themeColor="accent1" w:themeShade="BF"/>
    </w:rPr>
  </w:style>
  <w:style w:type="character" w:styleId="IntenseReference">
    <w:name w:val="Intense Reference"/>
    <w:basedOn w:val="DefaultParagraphFont"/>
    <w:uiPriority w:val="32"/>
    <w:qFormat/>
    <w:rsid w:val="00E50DE2"/>
    <w:rPr>
      <w:b/>
      <w:bCs/>
      <w:smallCaps/>
      <w:color w:val="0F4761" w:themeColor="accent1" w:themeShade="BF"/>
      <w:spacing w:val="5"/>
    </w:rPr>
  </w:style>
  <w:style w:type="paragraph" w:styleId="TOC2">
    <w:name w:val="toc 2"/>
    <w:basedOn w:val="Normal"/>
    <w:next w:val="Normal"/>
    <w:autoRedefine/>
    <w:uiPriority w:val="39"/>
    <w:unhideWhenUsed/>
    <w:rsid w:val="00991CE1"/>
    <w:pPr>
      <w:spacing w:after="0"/>
      <w:ind w:left="220"/>
    </w:pPr>
    <w:rPr>
      <w:smallCaps/>
      <w:sz w:val="20"/>
      <w:szCs w:val="20"/>
    </w:rPr>
  </w:style>
  <w:style w:type="paragraph" w:styleId="TOC3">
    <w:name w:val="toc 3"/>
    <w:basedOn w:val="Normal"/>
    <w:next w:val="Normal"/>
    <w:autoRedefine/>
    <w:uiPriority w:val="39"/>
    <w:unhideWhenUsed/>
    <w:rsid w:val="003515E1"/>
    <w:pPr>
      <w:spacing w:after="0"/>
      <w:ind w:left="440"/>
    </w:pPr>
    <w:rPr>
      <w:i/>
      <w:iCs/>
      <w:sz w:val="20"/>
      <w:szCs w:val="20"/>
    </w:rPr>
  </w:style>
  <w:style w:type="character" w:styleId="Hyperlink">
    <w:name w:val="Hyperlink"/>
    <w:basedOn w:val="DefaultParagraphFont"/>
    <w:uiPriority w:val="99"/>
    <w:unhideWhenUsed/>
    <w:rsid w:val="003515E1"/>
    <w:rPr>
      <w:color w:val="467886" w:themeColor="hyperlink"/>
      <w:u w:val="single"/>
    </w:rPr>
  </w:style>
  <w:style w:type="paragraph" w:styleId="NoSpacing">
    <w:name w:val="No Spacing"/>
    <w:link w:val="NoSpacingChar"/>
    <w:uiPriority w:val="1"/>
    <w:qFormat/>
    <w:rsid w:val="003515E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515E1"/>
    <w:rPr>
      <w:rFonts w:eastAsiaTheme="minorEastAsia"/>
      <w:kern w:val="0"/>
      <w:lang w:val="en-US"/>
      <w14:ligatures w14:val="none"/>
    </w:rPr>
  </w:style>
  <w:style w:type="table" w:styleId="GridTable4-Accent1">
    <w:name w:val="Grid Table 4 Accent 1"/>
    <w:basedOn w:val="TableNormal"/>
    <w:uiPriority w:val="49"/>
    <w:rsid w:val="00991CE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991CE1"/>
    <w:pPr>
      <w:spacing w:before="120" w:after="120"/>
    </w:pPr>
    <w:rPr>
      <w:b/>
      <w:bCs/>
      <w:caps/>
      <w:sz w:val="20"/>
      <w:szCs w:val="20"/>
    </w:rPr>
  </w:style>
  <w:style w:type="paragraph" w:styleId="TOC4">
    <w:name w:val="toc 4"/>
    <w:basedOn w:val="Normal"/>
    <w:next w:val="Normal"/>
    <w:autoRedefine/>
    <w:uiPriority w:val="39"/>
    <w:unhideWhenUsed/>
    <w:rsid w:val="00991CE1"/>
    <w:pPr>
      <w:spacing w:after="0"/>
      <w:ind w:left="660"/>
    </w:pPr>
    <w:rPr>
      <w:sz w:val="18"/>
      <w:szCs w:val="18"/>
    </w:rPr>
  </w:style>
  <w:style w:type="paragraph" w:styleId="TOC5">
    <w:name w:val="toc 5"/>
    <w:basedOn w:val="Normal"/>
    <w:next w:val="Normal"/>
    <w:autoRedefine/>
    <w:uiPriority w:val="39"/>
    <w:unhideWhenUsed/>
    <w:rsid w:val="00991CE1"/>
    <w:pPr>
      <w:spacing w:after="0"/>
      <w:ind w:left="880"/>
    </w:pPr>
    <w:rPr>
      <w:sz w:val="18"/>
      <w:szCs w:val="18"/>
    </w:rPr>
  </w:style>
  <w:style w:type="paragraph" w:styleId="TOC6">
    <w:name w:val="toc 6"/>
    <w:basedOn w:val="Normal"/>
    <w:next w:val="Normal"/>
    <w:autoRedefine/>
    <w:uiPriority w:val="39"/>
    <w:unhideWhenUsed/>
    <w:rsid w:val="00991CE1"/>
    <w:pPr>
      <w:spacing w:after="0"/>
      <w:ind w:left="1100"/>
    </w:pPr>
    <w:rPr>
      <w:sz w:val="18"/>
      <w:szCs w:val="18"/>
    </w:rPr>
  </w:style>
  <w:style w:type="paragraph" w:styleId="TOC7">
    <w:name w:val="toc 7"/>
    <w:basedOn w:val="Normal"/>
    <w:next w:val="Normal"/>
    <w:autoRedefine/>
    <w:uiPriority w:val="39"/>
    <w:unhideWhenUsed/>
    <w:rsid w:val="00991CE1"/>
    <w:pPr>
      <w:spacing w:after="0"/>
      <w:ind w:left="1320"/>
    </w:pPr>
    <w:rPr>
      <w:sz w:val="18"/>
      <w:szCs w:val="18"/>
    </w:rPr>
  </w:style>
  <w:style w:type="paragraph" w:styleId="TOC8">
    <w:name w:val="toc 8"/>
    <w:basedOn w:val="Normal"/>
    <w:next w:val="Normal"/>
    <w:autoRedefine/>
    <w:uiPriority w:val="39"/>
    <w:unhideWhenUsed/>
    <w:rsid w:val="00991CE1"/>
    <w:pPr>
      <w:spacing w:after="0"/>
      <w:ind w:left="1540"/>
    </w:pPr>
    <w:rPr>
      <w:sz w:val="18"/>
      <w:szCs w:val="18"/>
    </w:rPr>
  </w:style>
  <w:style w:type="paragraph" w:styleId="TOC9">
    <w:name w:val="toc 9"/>
    <w:basedOn w:val="Normal"/>
    <w:next w:val="Normal"/>
    <w:autoRedefine/>
    <w:uiPriority w:val="39"/>
    <w:unhideWhenUsed/>
    <w:rsid w:val="00991CE1"/>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568815">
      <w:bodyDiv w:val="1"/>
      <w:marLeft w:val="0"/>
      <w:marRight w:val="0"/>
      <w:marTop w:val="0"/>
      <w:marBottom w:val="0"/>
      <w:divBdr>
        <w:top w:val="none" w:sz="0" w:space="0" w:color="auto"/>
        <w:left w:val="none" w:sz="0" w:space="0" w:color="auto"/>
        <w:bottom w:val="none" w:sz="0" w:space="0" w:color="auto"/>
        <w:right w:val="none" w:sz="0" w:space="0" w:color="auto"/>
      </w:divBdr>
    </w:div>
    <w:div w:id="612639011">
      <w:bodyDiv w:val="1"/>
      <w:marLeft w:val="0"/>
      <w:marRight w:val="0"/>
      <w:marTop w:val="0"/>
      <w:marBottom w:val="0"/>
      <w:divBdr>
        <w:top w:val="none" w:sz="0" w:space="0" w:color="auto"/>
        <w:left w:val="none" w:sz="0" w:space="0" w:color="auto"/>
        <w:bottom w:val="none" w:sz="0" w:space="0" w:color="auto"/>
        <w:right w:val="none" w:sz="0" w:space="0" w:color="auto"/>
      </w:divBdr>
    </w:div>
    <w:div w:id="1257324047">
      <w:bodyDiv w:val="1"/>
      <w:marLeft w:val="0"/>
      <w:marRight w:val="0"/>
      <w:marTop w:val="0"/>
      <w:marBottom w:val="0"/>
      <w:divBdr>
        <w:top w:val="none" w:sz="0" w:space="0" w:color="auto"/>
        <w:left w:val="none" w:sz="0" w:space="0" w:color="auto"/>
        <w:bottom w:val="none" w:sz="0" w:space="0" w:color="auto"/>
        <w:right w:val="none" w:sz="0" w:space="0" w:color="auto"/>
      </w:divBdr>
    </w:div>
    <w:div w:id="1321038249">
      <w:bodyDiv w:val="1"/>
      <w:marLeft w:val="0"/>
      <w:marRight w:val="0"/>
      <w:marTop w:val="0"/>
      <w:marBottom w:val="0"/>
      <w:divBdr>
        <w:top w:val="none" w:sz="0" w:space="0" w:color="auto"/>
        <w:left w:val="none" w:sz="0" w:space="0" w:color="auto"/>
        <w:bottom w:val="none" w:sz="0" w:space="0" w:color="auto"/>
        <w:right w:val="none" w:sz="0" w:space="0" w:color="auto"/>
      </w:divBdr>
    </w:div>
    <w:div w:id="212481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a.org.uk/publication/consultation/cp18-25.pdf?utm_source=chatgpt.com" TargetMode="External"/><Relationship Id="rId13" Type="http://schemas.openxmlformats.org/officeDocument/2006/relationships/hyperlink" Target="https://www.fca.org.uk/publication/finalised-guidance/fca-approach-payment-services-electronic-money-december-2018-track-changes.pdf?utm_source=chatgpt.com" TargetMode="External"/><Relationship Id="rId18" Type="http://schemas.openxmlformats.org/officeDocument/2006/relationships/hyperlink" Target="https://www.fca.org.uk/publication/consultation/cp18-25.pdf?utm_source=chatgpt.com" TargetMode="External"/><Relationship Id="rId26" Type="http://schemas.openxmlformats.org/officeDocument/2006/relationships/hyperlink" Target="https://www.fca.org.uk/publication/finalised-guidance/fca-approach-payment-services-electronic-money-december-2018-track-changes.pdf?utm_source=chatgpt.com" TargetMode="External"/><Relationship Id="rId3" Type="http://schemas.openxmlformats.org/officeDocument/2006/relationships/settings" Target="settings.xml"/><Relationship Id="rId21" Type="http://schemas.openxmlformats.org/officeDocument/2006/relationships/hyperlink" Target="https://www.fca.org.uk/publication/policy/ps21-19.pdf?utm_source=chatgpt.com" TargetMode="External"/><Relationship Id="rId7" Type="http://schemas.openxmlformats.org/officeDocument/2006/relationships/hyperlink" Target="https://www.fca.org.uk/publication/finalised-guidance/fca-approach-payment-services-electronic-money-2017.pdf?utm_source=chatgpt.com" TargetMode="External"/><Relationship Id="rId12" Type="http://schemas.openxmlformats.org/officeDocument/2006/relationships/hyperlink" Target="https://www.fca.org.uk/publication/consultation/cp18-25.pdf?utm_source=chatgpt.com" TargetMode="External"/><Relationship Id="rId17" Type="http://schemas.openxmlformats.org/officeDocument/2006/relationships/hyperlink" Target="https://www.fca.org.uk/publication/policy/ps21-19.pdf?utm_source=chatgpt.com" TargetMode="External"/><Relationship Id="rId25" Type="http://schemas.openxmlformats.org/officeDocument/2006/relationships/hyperlink" Target="https://www.fca.org.uk/publication/policy/ps21-19.pdf?utm_source=chatgpt.com" TargetMode="External"/><Relationship Id="rId2" Type="http://schemas.openxmlformats.org/officeDocument/2006/relationships/styles" Target="styles.xml"/><Relationship Id="rId16" Type="http://schemas.openxmlformats.org/officeDocument/2006/relationships/hyperlink" Target="https://www.fca.org.uk/publication/finalised-guidance/fca-approach-payment-services-electronic-money-december-2018-track-changes.pdf?utm_source=chatgpt.com" TargetMode="External"/><Relationship Id="rId20" Type="http://schemas.openxmlformats.org/officeDocument/2006/relationships/hyperlink" Target="https://www.fca.org.uk/publication/finalised-guidance/fca-approach-payment-services-electronic-money-2017.pdf?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ca.org.uk/publication/finalised-guidance/fca-approach-payment-services-electronic-money-december-2018-track-changes.pdf?utm_source=chatgpt.com" TargetMode="External"/><Relationship Id="rId11" Type="http://schemas.openxmlformats.org/officeDocument/2006/relationships/hyperlink" Target="https://www.fca.org.uk/publication/finalised-guidance/fca-approach-payment-services-electronic-money-december-2018-track-changes.pdf?utm_source=chatgpt.com" TargetMode="External"/><Relationship Id="rId24" Type="http://schemas.openxmlformats.org/officeDocument/2006/relationships/hyperlink" Target="https://www.fca.org.uk/publication/consultation/cp21-3.pdf?utm_source=chatgpt.com" TargetMode="External"/><Relationship Id="rId5" Type="http://schemas.openxmlformats.org/officeDocument/2006/relationships/image" Target="media/image1.jpeg"/><Relationship Id="rId15" Type="http://schemas.openxmlformats.org/officeDocument/2006/relationships/hyperlink" Target="https://www.fca.org.uk/publication/consultation/cp18-25.pdf?utm_source=chatgpt.com" TargetMode="External"/><Relationship Id="rId23" Type="http://schemas.openxmlformats.org/officeDocument/2006/relationships/hyperlink" Target="https://www.fca.org.uk/publication/policy/ps21-19.pdf?utm_source=chatgpt.com" TargetMode="External"/><Relationship Id="rId28" Type="http://schemas.openxmlformats.org/officeDocument/2006/relationships/fontTable" Target="fontTable.xml"/><Relationship Id="rId10" Type="http://schemas.openxmlformats.org/officeDocument/2006/relationships/hyperlink" Target="https://www.fca.org.uk/publication/consultation/cp18-25.pdf?utm_source=chatgpt.com" TargetMode="External"/><Relationship Id="rId19" Type="http://schemas.openxmlformats.org/officeDocument/2006/relationships/hyperlink" Target="https://www.fca.org.uk/publication/finalised-guidance/fca-approach-payment-services-electronic-money-2017-november-2024-tracked-changes.pdf?utm_source=chatgpt.com" TargetMode="External"/><Relationship Id="rId4" Type="http://schemas.openxmlformats.org/officeDocument/2006/relationships/webSettings" Target="webSettings.xml"/><Relationship Id="rId9" Type="http://schemas.openxmlformats.org/officeDocument/2006/relationships/hyperlink" Target="https://www.fca.org.uk/publication/policy/ps21-19.pdf?utm_source=chatgpt.com" TargetMode="External"/><Relationship Id="rId14" Type="http://schemas.openxmlformats.org/officeDocument/2006/relationships/hyperlink" Target="https://www.fca.org.uk/publication/policy/ps21-19.pdf?utm_source=chatgpt.com" TargetMode="External"/><Relationship Id="rId22" Type="http://schemas.openxmlformats.org/officeDocument/2006/relationships/hyperlink" Target="https://www.fca.org.uk/publication/consultation/cp18-25.pdf?utm_source=chatgpt.com" TargetMode="External"/><Relationship Id="rId27" Type="http://schemas.openxmlformats.org/officeDocument/2006/relationships/hyperlink" Target="https://www.fca.org.uk/publication/finalised-guidance/fca-approach-payment-services-electronic-money-2017-november-2024-tracked-changes.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1953</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Data Security Policy</vt:lpstr>
    </vt:vector>
  </TitlesOfParts>
  <Company/>
  <LinksUpToDate>false</LinksUpToDate>
  <CharactersWithSpaces>13060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Policy</dc:title>
  <dc:subject>DSP-2025</dc:subject>
  <dc:creator>FManu (FYM)</dc:creator>
  <cp:keywords/>
  <dc:description/>
  <cp:lastModifiedBy>FManu (FYM)</cp:lastModifiedBy>
  <cp:revision>10</cp:revision>
  <cp:lastPrinted>2025-08-06T11:15:00Z</cp:lastPrinted>
  <dcterms:created xsi:type="dcterms:W3CDTF">2025-07-07T10:35:00Z</dcterms:created>
  <dcterms:modified xsi:type="dcterms:W3CDTF">2025-08-06T11:15:00Z</dcterms:modified>
</cp:coreProperties>
</file>