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7D006" w14:textId="160FB0F2" w:rsidR="00606EAA" w:rsidRPr="00606EAA" w:rsidRDefault="00606EAA" w:rsidP="00606EAA">
      <w:pPr>
        <w:spacing w:before="100" w:beforeAutospacing="1" w:after="100" w:afterAutospacing="1" w:line="240" w:lineRule="auto"/>
        <w:rPr>
          <w:rFonts w:ascii="Open Sans" w:eastAsia="Times New Roman" w:hAnsi="Open Sans" w:cs="Open Sans"/>
          <w:b/>
          <w:bCs/>
          <w:kern w:val="0"/>
          <w:sz w:val="56"/>
          <w:szCs w:val="56"/>
          <w:lang w:eastAsia="en-GB"/>
          <w14:ligatures w14:val="none"/>
        </w:rPr>
      </w:pPr>
      <w:r w:rsidRPr="00606EAA">
        <w:rPr>
          <w:rFonts w:ascii="Open Sans" w:eastAsia="Times New Roman" w:hAnsi="Open Sans" w:cs="Open Sans"/>
          <w:b/>
          <w:bCs/>
          <w:kern w:val="0"/>
          <w:sz w:val="56"/>
          <w:szCs w:val="56"/>
          <w:lang w:eastAsia="en-GB"/>
          <w14:ligatures w14:val="none"/>
        </w:rPr>
        <w:t>IT POLICY</w:t>
      </w:r>
    </w:p>
    <w:p w14:paraId="6F4A888B" w14:textId="19653DE6" w:rsidR="00606EAA" w:rsidRDefault="00606EAA" w:rsidP="00606EAA">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76409">
        <w:rPr>
          <w:rFonts w:ascii="Open Sans" w:hAnsi="Open Sans" w:cs="Open Sans"/>
          <w:noProof/>
          <w:sz w:val="24"/>
          <w:szCs w:val="24"/>
        </w:rPr>
        <w:drawing>
          <wp:inline distT="0" distB="0" distL="0" distR="0" wp14:anchorId="5C046EB4" wp14:editId="0CBB21E1">
            <wp:extent cx="5486400" cy="5486400"/>
            <wp:effectExtent l="0" t="0" r="0" b="0"/>
            <wp:docPr id="1712314106"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14106" name="Picture 2" descr="A logo for a company&#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4BA4C7EC"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25D1AD75"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0879B71C"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01037A2F"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43967427"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6848198D"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69A6A53C"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4751DE1A" w14:textId="1B1E04B0"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r>
        <w:rPr>
          <w:rFonts w:ascii="Open Sans" w:eastAsia="Times New Roman" w:hAnsi="Open Sans" w:cs="Open Sans"/>
          <w:b/>
          <w:bCs/>
          <w:kern w:val="0"/>
          <w:sz w:val="24"/>
          <w:szCs w:val="24"/>
          <w:lang w:eastAsia="en-GB"/>
          <w14:ligatures w14:val="none"/>
        </w:rPr>
        <w:lastRenderedPageBreak/>
        <w:t>TABLE OF CONTENTS</w:t>
      </w:r>
    </w:p>
    <w:p w14:paraId="779F9F13" w14:textId="738B4B2C" w:rsidR="00606EAA" w:rsidRPr="00606EAA" w:rsidRDefault="00606EAA" w:rsidP="00606EAA">
      <w:pPr>
        <w:pStyle w:val="TOC2"/>
        <w:tabs>
          <w:tab w:val="right" w:leader="dot" w:pos="9016"/>
        </w:tabs>
        <w:spacing w:line="480" w:lineRule="auto"/>
        <w:rPr>
          <w:rFonts w:ascii="Open Sans" w:eastAsiaTheme="minorEastAsia" w:hAnsi="Open Sans" w:cs="Open Sans"/>
          <w:smallCaps w:val="0"/>
          <w:noProof/>
          <w:sz w:val="24"/>
          <w:szCs w:val="24"/>
          <w:lang w:eastAsia="en-GB"/>
        </w:rPr>
      </w:pPr>
      <w:r>
        <w:rPr>
          <w:rFonts w:ascii="Open Sans" w:eastAsia="Times New Roman" w:hAnsi="Open Sans" w:cs="Open Sans"/>
          <w:b/>
          <w:bCs/>
          <w:kern w:val="0"/>
          <w:sz w:val="24"/>
          <w:szCs w:val="24"/>
          <w:lang w:eastAsia="en-GB"/>
          <w14:ligatures w14:val="none"/>
        </w:rPr>
        <w:fldChar w:fldCharType="begin"/>
      </w:r>
      <w:r>
        <w:rPr>
          <w:rFonts w:ascii="Open Sans" w:eastAsia="Times New Roman" w:hAnsi="Open Sans" w:cs="Open Sans"/>
          <w:b/>
          <w:bCs/>
          <w:kern w:val="0"/>
          <w:sz w:val="24"/>
          <w:szCs w:val="24"/>
          <w:lang w:eastAsia="en-GB"/>
          <w14:ligatures w14:val="none"/>
        </w:rPr>
        <w:instrText xml:space="preserve"> TOC \o "1-3" \h \z \u </w:instrText>
      </w:r>
      <w:r>
        <w:rPr>
          <w:rFonts w:ascii="Open Sans" w:eastAsia="Times New Roman" w:hAnsi="Open Sans" w:cs="Open Sans"/>
          <w:b/>
          <w:bCs/>
          <w:kern w:val="0"/>
          <w:sz w:val="24"/>
          <w:szCs w:val="24"/>
          <w:lang w:eastAsia="en-GB"/>
          <w14:ligatures w14:val="none"/>
        </w:rPr>
        <w:fldChar w:fldCharType="separate"/>
      </w:r>
      <w:hyperlink w:anchor="_Toc205055531" w:history="1">
        <w:r w:rsidRPr="00606EAA">
          <w:rPr>
            <w:rStyle w:val="Hyperlink"/>
            <w:rFonts w:ascii="Open Sans" w:eastAsia="Times New Roman" w:hAnsi="Open Sans" w:cs="Open Sans"/>
            <w:b/>
            <w:bCs/>
            <w:noProof/>
            <w:kern w:val="0"/>
            <w:sz w:val="24"/>
            <w:szCs w:val="24"/>
            <w:lang w:eastAsia="en-GB"/>
            <w14:ligatures w14:val="none"/>
          </w:rPr>
          <w:t>1. Purpose and Scope</w:t>
        </w:r>
        <w:r w:rsidRPr="00606EAA">
          <w:rPr>
            <w:rFonts w:ascii="Open Sans" w:hAnsi="Open Sans" w:cs="Open Sans"/>
            <w:noProof/>
            <w:webHidden/>
            <w:sz w:val="24"/>
            <w:szCs w:val="24"/>
          </w:rPr>
          <w:tab/>
        </w:r>
        <w:r w:rsidRPr="00606EAA">
          <w:rPr>
            <w:rFonts w:ascii="Open Sans" w:hAnsi="Open Sans" w:cs="Open Sans"/>
            <w:noProof/>
            <w:webHidden/>
            <w:sz w:val="24"/>
            <w:szCs w:val="24"/>
          </w:rPr>
          <w:fldChar w:fldCharType="begin"/>
        </w:r>
        <w:r w:rsidRPr="00606EAA">
          <w:rPr>
            <w:rFonts w:ascii="Open Sans" w:hAnsi="Open Sans" w:cs="Open Sans"/>
            <w:noProof/>
            <w:webHidden/>
            <w:sz w:val="24"/>
            <w:szCs w:val="24"/>
          </w:rPr>
          <w:instrText xml:space="preserve"> PAGEREF _Toc205055531 \h </w:instrText>
        </w:r>
        <w:r w:rsidRPr="00606EAA">
          <w:rPr>
            <w:rFonts w:ascii="Open Sans" w:hAnsi="Open Sans" w:cs="Open Sans"/>
            <w:noProof/>
            <w:webHidden/>
            <w:sz w:val="24"/>
            <w:szCs w:val="24"/>
          </w:rPr>
        </w:r>
        <w:r w:rsidRPr="00606EAA">
          <w:rPr>
            <w:rFonts w:ascii="Open Sans" w:hAnsi="Open Sans" w:cs="Open Sans"/>
            <w:noProof/>
            <w:webHidden/>
            <w:sz w:val="24"/>
            <w:szCs w:val="24"/>
          </w:rPr>
          <w:fldChar w:fldCharType="separate"/>
        </w:r>
        <w:r w:rsidR="002957CB">
          <w:rPr>
            <w:rFonts w:ascii="Open Sans" w:hAnsi="Open Sans" w:cs="Open Sans"/>
            <w:noProof/>
            <w:webHidden/>
            <w:sz w:val="24"/>
            <w:szCs w:val="24"/>
          </w:rPr>
          <w:t>3</w:t>
        </w:r>
        <w:r w:rsidRPr="00606EAA">
          <w:rPr>
            <w:rFonts w:ascii="Open Sans" w:hAnsi="Open Sans" w:cs="Open Sans"/>
            <w:noProof/>
            <w:webHidden/>
            <w:sz w:val="24"/>
            <w:szCs w:val="24"/>
          </w:rPr>
          <w:fldChar w:fldCharType="end"/>
        </w:r>
      </w:hyperlink>
    </w:p>
    <w:p w14:paraId="41A69536" w14:textId="1FDF0D6F" w:rsidR="00606EAA" w:rsidRPr="00606EAA" w:rsidRDefault="00606EAA" w:rsidP="00606E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055532" w:history="1">
        <w:r w:rsidRPr="00606EAA">
          <w:rPr>
            <w:rStyle w:val="Hyperlink"/>
            <w:rFonts w:ascii="Open Sans" w:eastAsia="Times New Roman" w:hAnsi="Open Sans" w:cs="Open Sans"/>
            <w:b/>
            <w:bCs/>
            <w:noProof/>
            <w:kern w:val="0"/>
            <w:sz w:val="24"/>
            <w:szCs w:val="24"/>
            <w:lang w:eastAsia="en-GB"/>
            <w14:ligatures w14:val="none"/>
          </w:rPr>
          <w:t>2. IT Governance and Roles</w:t>
        </w:r>
        <w:r w:rsidRPr="00606EAA">
          <w:rPr>
            <w:rFonts w:ascii="Open Sans" w:hAnsi="Open Sans" w:cs="Open Sans"/>
            <w:noProof/>
            <w:webHidden/>
            <w:sz w:val="24"/>
            <w:szCs w:val="24"/>
          </w:rPr>
          <w:tab/>
        </w:r>
        <w:r w:rsidRPr="00606EAA">
          <w:rPr>
            <w:rFonts w:ascii="Open Sans" w:hAnsi="Open Sans" w:cs="Open Sans"/>
            <w:noProof/>
            <w:webHidden/>
            <w:sz w:val="24"/>
            <w:szCs w:val="24"/>
          </w:rPr>
          <w:fldChar w:fldCharType="begin"/>
        </w:r>
        <w:r w:rsidRPr="00606EAA">
          <w:rPr>
            <w:rFonts w:ascii="Open Sans" w:hAnsi="Open Sans" w:cs="Open Sans"/>
            <w:noProof/>
            <w:webHidden/>
            <w:sz w:val="24"/>
            <w:szCs w:val="24"/>
          </w:rPr>
          <w:instrText xml:space="preserve"> PAGEREF _Toc205055532 \h </w:instrText>
        </w:r>
        <w:r w:rsidRPr="00606EAA">
          <w:rPr>
            <w:rFonts w:ascii="Open Sans" w:hAnsi="Open Sans" w:cs="Open Sans"/>
            <w:noProof/>
            <w:webHidden/>
            <w:sz w:val="24"/>
            <w:szCs w:val="24"/>
          </w:rPr>
        </w:r>
        <w:r w:rsidRPr="00606EAA">
          <w:rPr>
            <w:rFonts w:ascii="Open Sans" w:hAnsi="Open Sans" w:cs="Open Sans"/>
            <w:noProof/>
            <w:webHidden/>
            <w:sz w:val="24"/>
            <w:szCs w:val="24"/>
          </w:rPr>
          <w:fldChar w:fldCharType="separate"/>
        </w:r>
        <w:r w:rsidR="002957CB">
          <w:rPr>
            <w:rFonts w:ascii="Open Sans" w:hAnsi="Open Sans" w:cs="Open Sans"/>
            <w:noProof/>
            <w:webHidden/>
            <w:sz w:val="24"/>
            <w:szCs w:val="24"/>
          </w:rPr>
          <w:t>3</w:t>
        </w:r>
        <w:r w:rsidRPr="00606EAA">
          <w:rPr>
            <w:rFonts w:ascii="Open Sans" w:hAnsi="Open Sans" w:cs="Open Sans"/>
            <w:noProof/>
            <w:webHidden/>
            <w:sz w:val="24"/>
            <w:szCs w:val="24"/>
          </w:rPr>
          <w:fldChar w:fldCharType="end"/>
        </w:r>
      </w:hyperlink>
    </w:p>
    <w:p w14:paraId="2EB71574" w14:textId="36707188" w:rsidR="00606EAA" w:rsidRPr="00606EAA" w:rsidRDefault="00606EAA" w:rsidP="00606E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055533" w:history="1">
        <w:r w:rsidRPr="00606EAA">
          <w:rPr>
            <w:rStyle w:val="Hyperlink"/>
            <w:rFonts w:ascii="Open Sans" w:eastAsia="Times New Roman" w:hAnsi="Open Sans" w:cs="Open Sans"/>
            <w:b/>
            <w:bCs/>
            <w:noProof/>
            <w:kern w:val="0"/>
            <w:sz w:val="24"/>
            <w:szCs w:val="24"/>
            <w:lang w:eastAsia="en-GB"/>
            <w14:ligatures w14:val="none"/>
          </w:rPr>
          <w:t>3. Information Security Framework</w:t>
        </w:r>
        <w:r w:rsidRPr="00606EAA">
          <w:rPr>
            <w:rFonts w:ascii="Open Sans" w:hAnsi="Open Sans" w:cs="Open Sans"/>
            <w:noProof/>
            <w:webHidden/>
            <w:sz w:val="24"/>
            <w:szCs w:val="24"/>
          </w:rPr>
          <w:tab/>
        </w:r>
        <w:r w:rsidRPr="00606EAA">
          <w:rPr>
            <w:rFonts w:ascii="Open Sans" w:hAnsi="Open Sans" w:cs="Open Sans"/>
            <w:noProof/>
            <w:webHidden/>
            <w:sz w:val="24"/>
            <w:szCs w:val="24"/>
          </w:rPr>
          <w:fldChar w:fldCharType="begin"/>
        </w:r>
        <w:r w:rsidRPr="00606EAA">
          <w:rPr>
            <w:rFonts w:ascii="Open Sans" w:hAnsi="Open Sans" w:cs="Open Sans"/>
            <w:noProof/>
            <w:webHidden/>
            <w:sz w:val="24"/>
            <w:szCs w:val="24"/>
          </w:rPr>
          <w:instrText xml:space="preserve"> PAGEREF _Toc205055533 \h </w:instrText>
        </w:r>
        <w:r w:rsidRPr="00606EAA">
          <w:rPr>
            <w:rFonts w:ascii="Open Sans" w:hAnsi="Open Sans" w:cs="Open Sans"/>
            <w:noProof/>
            <w:webHidden/>
            <w:sz w:val="24"/>
            <w:szCs w:val="24"/>
          </w:rPr>
        </w:r>
        <w:r w:rsidRPr="00606EAA">
          <w:rPr>
            <w:rFonts w:ascii="Open Sans" w:hAnsi="Open Sans" w:cs="Open Sans"/>
            <w:noProof/>
            <w:webHidden/>
            <w:sz w:val="24"/>
            <w:szCs w:val="24"/>
          </w:rPr>
          <w:fldChar w:fldCharType="separate"/>
        </w:r>
        <w:r w:rsidR="002957CB">
          <w:rPr>
            <w:rFonts w:ascii="Open Sans" w:hAnsi="Open Sans" w:cs="Open Sans"/>
            <w:noProof/>
            <w:webHidden/>
            <w:sz w:val="24"/>
            <w:szCs w:val="24"/>
          </w:rPr>
          <w:t>4</w:t>
        </w:r>
        <w:r w:rsidRPr="00606EAA">
          <w:rPr>
            <w:rFonts w:ascii="Open Sans" w:hAnsi="Open Sans" w:cs="Open Sans"/>
            <w:noProof/>
            <w:webHidden/>
            <w:sz w:val="24"/>
            <w:szCs w:val="24"/>
          </w:rPr>
          <w:fldChar w:fldCharType="end"/>
        </w:r>
      </w:hyperlink>
    </w:p>
    <w:p w14:paraId="40BEDF01" w14:textId="74C31484" w:rsidR="00606EAA" w:rsidRPr="00606EAA" w:rsidRDefault="00606EAA" w:rsidP="00606E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055534" w:history="1">
        <w:r w:rsidRPr="00606EAA">
          <w:rPr>
            <w:rStyle w:val="Hyperlink"/>
            <w:rFonts w:ascii="Open Sans" w:eastAsia="Times New Roman" w:hAnsi="Open Sans" w:cs="Open Sans"/>
            <w:b/>
            <w:bCs/>
            <w:noProof/>
            <w:kern w:val="0"/>
            <w:sz w:val="24"/>
            <w:szCs w:val="24"/>
            <w:lang w:eastAsia="en-GB"/>
            <w14:ligatures w14:val="none"/>
          </w:rPr>
          <w:t>4. Change Management</w:t>
        </w:r>
        <w:r w:rsidRPr="00606EAA">
          <w:rPr>
            <w:rFonts w:ascii="Open Sans" w:hAnsi="Open Sans" w:cs="Open Sans"/>
            <w:noProof/>
            <w:webHidden/>
            <w:sz w:val="24"/>
            <w:szCs w:val="24"/>
          </w:rPr>
          <w:tab/>
        </w:r>
        <w:r w:rsidRPr="00606EAA">
          <w:rPr>
            <w:rFonts w:ascii="Open Sans" w:hAnsi="Open Sans" w:cs="Open Sans"/>
            <w:noProof/>
            <w:webHidden/>
            <w:sz w:val="24"/>
            <w:szCs w:val="24"/>
          </w:rPr>
          <w:fldChar w:fldCharType="begin"/>
        </w:r>
        <w:r w:rsidRPr="00606EAA">
          <w:rPr>
            <w:rFonts w:ascii="Open Sans" w:hAnsi="Open Sans" w:cs="Open Sans"/>
            <w:noProof/>
            <w:webHidden/>
            <w:sz w:val="24"/>
            <w:szCs w:val="24"/>
          </w:rPr>
          <w:instrText xml:space="preserve"> PAGEREF _Toc205055534 \h </w:instrText>
        </w:r>
        <w:r w:rsidRPr="00606EAA">
          <w:rPr>
            <w:rFonts w:ascii="Open Sans" w:hAnsi="Open Sans" w:cs="Open Sans"/>
            <w:noProof/>
            <w:webHidden/>
            <w:sz w:val="24"/>
            <w:szCs w:val="24"/>
          </w:rPr>
        </w:r>
        <w:r w:rsidRPr="00606EAA">
          <w:rPr>
            <w:rFonts w:ascii="Open Sans" w:hAnsi="Open Sans" w:cs="Open Sans"/>
            <w:noProof/>
            <w:webHidden/>
            <w:sz w:val="24"/>
            <w:szCs w:val="24"/>
          </w:rPr>
          <w:fldChar w:fldCharType="separate"/>
        </w:r>
        <w:r w:rsidR="002957CB">
          <w:rPr>
            <w:rFonts w:ascii="Open Sans" w:hAnsi="Open Sans" w:cs="Open Sans"/>
            <w:noProof/>
            <w:webHidden/>
            <w:sz w:val="24"/>
            <w:szCs w:val="24"/>
          </w:rPr>
          <w:t>4</w:t>
        </w:r>
        <w:r w:rsidRPr="00606EAA">
          <w:rPr>
            <w:rFonts w:ascii="Open Sans" w:hAnsi="Open Sans" w:cs="Open Sans"/>
            <w:noProof/>
            <w:webHidden/>
            <w:sz w:val="24"/>
            <w:szCs w:val="24"/>
          </w:rPr>
          <w:fldChar w:fldCharType="end"/>
        </w:r>
      </w:hyperlink>
    </w:p>
    <w:p w14:paraId="757DF75C" w14:textId="6E58BD37" w:rsidR="00606EAA" w:rsidRPr="00606EAA" w:rsidRDefault="00606EAA" w:rsidP="00606E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055535" w:history="1">
        <w:r w:rsidRPr="00606EAA">
          <w:rPr>
            <w:rStyle w:val="Hyperlink"/>
            <w:rFonts w:ascii="Open Sans" w:eastAsia="Times New Roman" w:hAnsi="Open Sans" w:cs="Open Sans"/>
            <w:b/>
            <w:bCs/>
            <w:noProof/>
            <w:kern w:val="0"/>
            <w:sz w:val="24"/>
            <w:szCs w:val="24"/>
            <w:lang w:eastAsia="en-GB"/>
            <w14:ligatures w14:val="none"/>
          </w:rPr>
          <w:t>5. Data Management and Retention</w:t>
        </w:r>
        <w:r w:rsidRPr="00606EAA">
          <w:rPr>
            <w:rFonts w:ascii="Open Sans" w:hAnsi="Open Sans" w:cs="Open Sans"/>
            <w:noProof/>
            <w:webHidden/>
            <w:sz w:val="24"/>
            <w:szCs w:val="24"/>
          </w:rPr>
          <w:tab/>
        </w:r>
        <w:r w:rsidRPr="00606EAA">
          <w:rPr>
            <w:rFonts w:ascii="Open Sans" w:hAnsi="Open Sans" w:cs="Open Sans"/>
            <w:noProof/>
            <w:webHidden/>
            <w:sz w:val="24"/>
            <w:szCs w:val="24"/>
          </w:rPr>
          <w:fldChar w:fldCharType="begin"/>
        </w:r>
        <w:r w:rsidRPr="00606EAA">
          <w:rPr>
            <w:rFonts w:ascii="Open Sans" w:hAnsi="Open Sans" w:cs="Open Sans"/>
            <w:noProof/>
            <w:webHidden/>
            <w:sz w:val="24"/>
            <w:szCs w:val="24"/>
          </w:rPr>
          <w:instrText xml:space="preserve"> PAGEREF _Toc205055535 \h </w:instrText>
        </w:r>
        <w:r w:rsidRPr="00606EAA">
          <w:rPr>
            <w:rFonts w:ascii="Open Sans" w:hAnsi="Open Sans" w:cs="Open Sans"/>
            <w:noProof/>
            <w:webHidden/>
            <w:sz w:val="24"/>
            <w:szCs w:val="24"/>
          </w:rPr>
        </w:r>
        <w:r w:rsidRPr="00606EAA">
          <w:rPr>
            <w:rFonts w:ascii="Open Sans" w:hAnsi="Open Sans" w:cs="Open Sans"/>
            <w:noProof/>
            <w:webHidden/>
            <w:sz w:val="24"/>
            <w:szCs w:val="24"/>
          </w:rPr>
          <w:fldChar w:fldCharType="separate"/>
        </w:r>
        <w:r w:rsidR="002957CB">
          <w:rPr>
            <w:rFonts w:ascii="Open Sans" w:hAnsi="Open Sans" w:cs="Open Sans"/>
            <w:noProof/>
            <w:webHidden/>
            <w:sz w:val="24"/>
            <w:szCs w:val="24"/>
          </w:rPr>
          <w:t>5</w:t>
        </w:r>
        <w:r w:rsidRPr="00606EAA">
          <w:rPr>
            <w:rFonts w:ascii="Open Sans" w:hAnsi="Open Sans" w:cs="Open Sans"/>
            <w:noProof/>
            <w:webHidden/>
            <w:sz w:val="24"/>
            <w:szCs w:val="24"/>
          </w:rPr>
          <w:fldChar w:fldCharType="end"/>
        </w:r>
      </w:hyperlink>
    </w:p>
    <w:p w14:paraId="7C8787FE" w14:textId="417FDB7B" w:rsidR="00606EAA" w:rsidRPr="00606EAA" w:rsidRDefault="00606EAA" w:rsidP="00606E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055536" w:history="1">
        <w:r w:rsidRPr="00606EAA">
          <w:rPr>
            <w:rStyle w:val="Hyperlink"/>
            <w:rFonts w:ascii="Open Sans" w:eastAsia="Times New Roman" w:hAnsi="Open Sans" w:cs="Open Sans"/>
            <w:b/>
            <w:bCs/>
            <w:noProof/>
            <w:kern w:val="0"/>
            <w:sz w:val="24"/>
            <w:szCs w:val="24"/>
            <w:lang w:eastAsia="en-GB"/>
            <w14:ligatures w14:val="none"/>
          </w:rPr>
          <w:t>6. Incident Management and Reporting</w:t>
        </w:r>
        <w:r w:rsidRPr="00606EAA">
          <w:rPr>
            <w:rFonts w:ascii="Open Sans" w:hAnsi="Open Sans" w:cs="Open Sans"/>
            <w:noProof/>
            <w:webHidden/>
            <w:sz w:val="24"/>
            <w:szCs w:val="24"/>
          </w:rPr>
          <w:tab/>
        </w:r>
        <w:r w:rsidRPr="00606EAA">
          <w:rPr>
            <w:rFonts w:ascii="Open Sans" w:hAnsi="Open Sans" w:cs="Open Sans"/>
            <w:noProof/>
            <w:webHidden/>
            <w:sz w:val="24"/>
            <w:szCs w:val="24"/>
          </w:rPr>
          <w:fldChar w:fldCharType="begin"/>
        </w:r>
        <w:r w:rsidRPr="00606EAA">
          <w:rPr>
            <w:rFonts w:ascii="Open Sans" w:hAnsi="Open Sans" w:cs="Open Sans"/>
            <w:noProof/>
            <w:webHidden/>
            <w:sz w:val="24"/>
            <w:szCs w:val="24"/>
          </w:rPr>
          <w:instrText xml:space="preserve"> PAGEREF _Toc205055536 \h </w:instrText>
        </w:r>
        <w:r w:rsidRPr="00606EAA">
          <w:rPr>
            <w:rFonts w:ascii="Open Sans" w:hAnsi="Open Sans" w:cs="Open Sans"/>
            <w:noProof/>
            <w:webHidden/>
            <w:sz w:val="24"/>
            <w:szCs w:val="24"/>
          </w:rPr>
        </w:r>
        <w:r w:rsidRPr="00606EAA">
          <w:rPr>
            <w:rFonts w:ascii="Open Sans" w:hAnsi="Open Sans" w:cs="Open Sans"/>
            <w:noProof/>
            <w:webHidden/>
            <w:sz w:val="24"/>
            <w:szCs w:val="24"/>
          </w:rPr>
          <w:fldChar w:fldCharType="separate"/>
        </w:r>
        <w:r w:rsidR="002957CB">
          <w:rPr>
            <w:rFonts w:ascii="Open Sans" w:hAnsi="Open Sans" w:cs="Open Sans"/>
            <w:noProof/>
            <w:webHidden/>
            <w:sz w:val="24"/>
            <w:szCs w:val="24"/>
          </w:rPr>
          <w:t>5</w:t>
        </w:r>
        <w:r w:rsidRPr="00606EAA">
          <w:rPr>
            <w:rFonts w:ascii="Open Sans" w:hAnsi="Open Sans" w:cs="Open Sans"/>
            <w:noProof/>
            <w:webHidden/>
            <w:sz w:val="24"/>
            <w:szCs w:val="24"/>
          </w:rPr>
          <w:fldChar w:fldCharType="end"/>
        </w:r>
      </w:hyperlink>
    </w:p>
    <w:p w14:paraId="767919F9" w14:textId="4E5D4296" w:rsidR="00606EAA" w:rsidRPr="00606EAA" w:rsidRDefault="00606EAA" w:rsidP="00606E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055537" w:history="1">
        <w:r w:rsidRPr="00606EAA">
          <w:rPr>
            <w:rStyle w:val="Hyperlink"/>
            <w:rFonts w:ascii="Open Sans" w:eastAsia="Times New Roman" w:hAnsi="Open Sans" w:cs="Open Sans"/>
            <w:b/>
            <w:bCs/>
            <w:noProof/>
            <w:kern w:val="0"/>
            <w:sz w:val="24"/>
            <w:szCs w:val="24"/>
            <w:lang w:eastAsia="en-GB"/>
            <w14:ligatures w14:val="none"/>
          </w:rPr>
          <w:t>7. Business Continuity and Disaster Recovery</w:t>
        </w:r>
        <w:r w:rsidRPr="00606EAA">
          <w:rPr>
            <w:rFonts w:ascii="Open Sans" w:hAnsi="Open Sans" w:cs="Open Sans"/>
            <w:noProof/>
            <w:webHidden/>
            <w:sz w:val="24"/>
            <w:szCs w:val="24"/>
          </w:rPr>
          <w:tab/>
        </w:r>
        <w:r w:rsidRPr="00606EAA">
          <w:rPr>
            <w:rFonts w:ascii="Open Sans" w:hAnsi="Open Sans" w:cs="Open Sans"/>
            <w:noProof/>
            <w:webHidden/>
            <w:sz w:val="24"/>
            <w:szCs w:val="24"/>
          </w:rPr>
          <w:fldChar w:fldCharType="begin"/>
        </w:r>
        <w:r w:rsidRPr="00606EAA">
          <w:rPr>
            <w:rFonts w:ascii="Open Sans" w:hAnsi="Open Sans" w:cs="Open Sans"/>
            <w:noProof/>
            <w:webHidden/>
            <w:sz w:val="24"/>
            <w:szCs w:val="24"/>
          </w:rPr>
          <w:instrText xml:space="preserve"> PAGEREF _Toc205055537 \h </w:instrText>
        </w:r>
        <w:r w:rsidRPr="00606EAA">
          <w:rPr>
            <w:rFonts w:ascii="Open Sans" w:hAnsi="Open Sans" w:cs="Open Sans"/>
            <w:noProof/>
            <w:webHidden/>
            <w:sz w:val="24"/>
            <w:szCs w:val="24"/>
          </w:rPr>
        </w:r>
        <w:r w:rsidRPr="00606EAA">
          <w:rPr>
            <w:rFonts w:ascii="Open Sans" w:hAnsi="Open Sans" w:cs="Open Sans"/>
            <w:noProof/>
            <w:webHidden/>
            <w:sz w:val="24"/>
            <w:szCs w:val="24"/>
          </w:rPr>
          <w:fldChar w:fldCharType="separate"/>
        </w:r>
        <w:r w:rsidR="002957CB">
          <w:rPr>
            <w:rFonts w:ascii="Open Sans" w:hAnsi="Open Sans" w:cs="Open Sans"/>
            <w:noProof/>
            <w:webHidden/>
            <w:sz w:val="24"/>
            <w:szCs w:val="24"/>
          </w:rPr>
          <w:t>6</w:t>
        </w:r>
        <w:r w:rsidRPr="00606EAA">
          <w:rPr>
            <w:rFonts w:ascii="Open Sans" w:hAnsi="Open Sans" w:cs="Open Sans"/>
            <w:noProof/>
            <w:webHidden/>
            <w:sz w:val="24"/>
            <w:szCs w:val="24"/>
          </w:rPr>
          <w:fldChar w:fldCharType="end"/>
        </w:r>
      </w:hyperlink>
    </w:p>
    <w:p w14:paraId="1EE66BA8" w14:textId="57C69D1B" w:rsidR="00606EAA" w:rsidRPr="00606EAA" w:rsidRDefault="00606EAA" w:rsidP="00606E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055538" w:history="1">
        <w:r w:rsidRPr="00606EAA">
          <w:rPr>
            <w:rStyle w:val="Hyperlink"/>
            <w:rFonts w:ascii="Open Sans" w:eastAsia="Times New Roman" w:hAnsi="Open Sans" w:cs="Open Sans"/>
            <w:b/>
            <w:bCs/>
            <w:noProof/>
            <w:kern w:val="0"/>
            <w:sz w:val="24"/>
            <w:szCs w:val="24"/>
            <w:lang w:eastAsia="en-GB"/>
            <w14:ligatures w14:val="none"/>
          </w:rPr>
          <w:t>8. Vendor and Outsourcing Management</w:t>
        </w:r>
        <w:r w:rsidRPr="00606EAA">
          <w:rPr>
            <w:rFonts w:ascii="Open Sans" w:hAnsi="Open Sans" w:cs="Open Sans"/>
            <w:noProof/>
            <w:webHidden/>
            <w:sz w:val="24"/>
            <w:szCs w:val="24"/>
          </w:rPr>
          <w:tab/>
        </w:r>
        <w:r w:rsidRPr="00606EAA">
          <w:rPr>
            <w:rFonts w:ascii="Open Sans" w:hAnsi="Open Sans" w:cs="Open Sans"/>
            <w:noProof/>
            <w:webHidden/>
            <w:sz w:val="24"/>
            <w:szCs w:val="24"/>
          </w:rPr>
          <w:fldChar w:fldCharType="begin"/>
        </w:r>
        <w:r w:rsidRPr="00606EAA">
          <w:rPr>
            <w:rFonts w:ascii="Open Sans" w:hAnsi="Open Sans" w:cs="Open Sans"/>
            <w:noProof/>
            <w:webHidden/>
            <w:sz w:val="24"/>
            <w:szCs w:val="24"/>
          </w:rPr>
          <w:instrText xml:space="preserve"> PAGEREF _Toc205055538 \h </w:instrText>
        </w:r>
        <w:r w:rsidRPr="00606EAA">
          <w:rPr>
            <w:rFonts w:ascii="Open Sans" w:hAnsi="Open Sans" w:cs="Open Sans"/>
            <w:noProof/>
            <w:webHidden/>
            <w:sz w:val="24"/>
            <w:szCs w:val="24"/>
          </w:rPr>
        </w:r>
        <w:r w:rsidRPr="00606EAA">
          <w:rPr>
            <w:rFonts w:ascii="Open Sans" w:hAnsi="Open Sans" w:cs="Open Sans"/>
            <w:noProof/>
            <w:webHidden/>
            <w:sz w:val="24"/>
            <w:szCs w:val="24"/>
          </w:rPr>
          <w:fldChar w:fldCharType="separate"/>
        </w:r>
        <w:r w:rsidR="002957CB">
          <w:rPr>
            <w:rFonts w:ascii="Open Sans" w:hAnsi="Open Sans" w:cs="Open Sans"/>
            <w:noProof/>
            <w:webHidden/>
            <w:sz w:val="24"/>
            <w:szCs w:val="24"/>
          </w:rPr>
          <w:t>6</w:t>
        </w:r>
        <w:r w:rsidRPr="00606EAA">
          <w:rPr>
            <w:rFonts w:ascii="Open Sans" w:hAnsi="Open Sans" w:cs="Open Sans"/>
            <w:noProof/>
            <w:webHidden/>
            <w:sz w:val="24"/>
            <w:szCs w:val="24"/>
          </w:rPr>
          <w:fldChar w:fldCharType="end"/>
        </w:r>
      </w:hyperlink>
    </w:p>
    <w:p w14:paraId="08BCCBCD" w14:textId="236E98FA" w:rsidR="00606EAA" w:rsidRPr="00606EAA" w:rsidRDefault="00606EAA" w:rsidP="00606E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055539" w:history="1">
        <w:r w:rsidRPr="00606EAA">
          <w:rPr>
            <w:rStyle w:val="Hyperlink"/>
            <w:rFonts w:ascii="Open Sans" w:eastAsia="Times New Roman" w:hAnsi="Open Sans" w:cs="Open Sans"/>
            <w:b/>
            <w:bCs/>
            <w:noProof/>
            <w:kern w:val="0"/>
            <w:sz w:val="24"/>
            <w:szCs w:val="24"/>
            <w:lang w:eastAsia="en-GB"/>
            <w14:ligatures w14:val="none"/>
          </w:rPr>
          <w:t>9. Compliance Monitoring and Continuous Improvement</w:t>
        </w:r>
        <w:r w:rsidRPr="00606EAA">
          <w:rPr>
            <w:rFonts w:ascii="Open Sans" w:hAnsi="Open Sans" w:cs="Open Sans"/>
            <w:noProof/>
            <w:webHidden/>
            <w:sz w:val="24"/>
            <w:szCs w:val="24"/>
          </w:rPr>
          <w:tab/>
        </w:r>
        <w:r w:rsidRPr="00606EAA">
          <w:rPr>
            <w:rFonts w:ascii="Open Sans" w:hAnsi="Open Sans" w:cs="Open Sans"/>
            <w:noProof/>
            <w:webHidden/>
            <w:sz w:val="24"/>
            <w:szCs w:val="24"/>
          </w:rPr>
          <w:fldChar w:fldCharType="begin"/>
        </w:r>
        <w:r w:rsidRPr="00606EAA">
          <w:rPr>
            <w:rFonts w:ascii="Open Sans" w:hAnsi="Open Sans" w:cs="Open Sans"/>
            <w:noProof/>
            <w:webHidden/>
            <w:sz w:val="24"/>
            <w:szCs w:val="24"/>
          </w:rPr>
          <w:instrText xml:space="preserve"> PAGEREF _Toc205055539 \h </w:instrText>
        </w:r>
        <w:r w:rsidRPr="00606EAA">
          <w:rPr>
            <w:rFonts w:ascii="Open Sans" w:hAnsi="Open Sans" w:cs="Open Sans"/>
            <w:noProof/>
            <w:webHidden/>
            <w:sz w:val="24"/>
            <w:szCs w:val="24"/>
          </w:rPr>
        </w:r>
        <w:r w:rsidRPr="00606EAA">
          <w:rPr>
            <w:rFonts w:ascii="Open Sans" w:hAnsi="Open Sans" w:cs="Open Sans"/>
            <w:noProof/>
            <w:webHidden/>
            <w:sz w:val="24"/>
            <w:szCs w:val="24"/>
          </w:rPr>
          <w:fldChar w:fldCharType="separate"/>
        </w:r>
        <w:r w:rsidR="002957CB">
          <w:rPr>
            <w:rFonts w:ascii="Open Sans" w:hAnsi="Open Sans" w:cs="Open Sans"/>
            <w:noProof/>
            <w:webHidden/>
            <w:sz w:val="24"/>
            <w:szCs w:val="24"/>
          </w:rPr>
          <w:t>6</w:t>
        </w:r>
        <w:r w:rsidRPr="00606EAA">
          <w:rPr>
            <w:rFonts w:ascii="Open Sans" w:hAnsi="Open Sans" w:cs="Open Sans"/>
            <w:noProof/>
            <w:webHidden/>
            <w:sz w:val="24"/>
            <w:szCs w:val="24"/>
          </w:rPr>
          <w:fldChar w:fldCharType="end"/>
        </w:r>
      </w:hyperlink>
    </w:p>
    <w:p w14:paraId="7C7B4CCB" w14:textId="4DE31AB0"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r>
        <w:rPr>
          <w:rFonts w:ascii="Open Sans" w:eastAsia="Times New Roman" w:hAnsi="Open Sans" w:cs="Open Sans"/>
          <w:b/>
          <w:bCs/>
          <w:kern w:val="0"/>
          <w:sz w:val="24"/>
          <w:szCs w:val="24"/>
          <w:lang w:eastAsia="en-GB"/>
          <w14:ligatures w14:val="none"/>
        </w:rPr>
        <w:fldChar w:fldCharType="end"/>
      </w:r>
    </w:p>
    <w:p w14:paraId="56F3264F"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42831F86"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025B4052"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1D84CF13"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6AFE6041"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3DFFB02A"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087F70ED"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74DAAC38"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2204DCD9"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78E0DDCF"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4FA30D34" w14:textId="77777777" w:rsidR="00606EAA" w:rsidRDefault="00606EAA" w:rsidP="00606EAA">
      <w:pPr>
        <w:spacing w:before="100" w:beforeAutospacing="1" w:after="100" w:afterAutospacing="1" w:line="240" w:lineRule="auto"/>
        <w:rPr>
          <w:rFonts w:ascii="Open Sans" w:eastAsia="Times New Roman" w:hAnsi="Open Sans" w:cs="Open Sans"/>
          <w:b/>
          <w:bCs/>
          <w:kern w:val="0"/>
          <w:sz w:val="24"/>
          <w:szCs w:val="24"/>
          <w:lang w:eastAsia="en-GB"/>
          <w14:ligatures w14:val="none"/>
        </w:rPr>
      </w:pPr>
    </w:p>
    <w:p w14:paraId="52EF5677" w14:textId="2AC25673" w:rsidR="00606EAA" w:rsidRPr="00606EAA" w:rsidRDefault="00606EAA" w:rsidP="00606EAA">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606EAA">
        <w:rPr>
          <w:rFonts w:ascii="Open Sans" w:eastAsia="Times New Roman" w:hAnsi="Open Sans" w:cs="Open Sans"/>
          <w:b/>
          <w:bCs/>
          <w:kern w:val="0"/>
          <w:sz w:val="24"/>
          <w:szCs w:val="24"/>
          <w:lang w:eastAsia="en-GB"/>
          <w14:ligatures w14:val="none"/>
        </w:rPr>
        <w:lastRenderedPageBreak/>
        <w:t>Executive Summary</w:t>
      </w:r>
      <w:r w:rsidRPr="00606EAA">
        <w:rPr>
          <w:rFonts w:ascii="Open Sans" w:eastAsia="Times New Roman" w:hAnsi="Open Sans" w:cs="Open Sans"/>
          <w:kern w:val="0"/>
          <w:sz w:val="24"/>
          <w:szCs w:val="24"/>
          <w:lang w:eastAsia="en-GB"/>
          <w14:ligatures w14:val="none"/>
        </w:rPr>
        <w:br/>
        <w:t>FYM Compliance Limited’s IT Policy establishes a robust, scalable and FCA-compliant technology framework for our Small Electronic Money Institution. It codifies governance, security, change management and continuity practices—ensuring that our e-money wallets, remittance, FX and unrelated payment services operate with high availability, integrity and confidentiality. Aligned with FCA Handbook requirements (SYSC, SUP 15, SUP 16), PSRs 2017, EMRs 2011 and industry best practices, this policy demonstrates FYM’s commitment to secure and resilient IT operations essential for regulated payment services.</w:t>
      </w:r>
    </w:p>
    <w:p w14:paraId="42D50532" w14:textId="1832B342" w:rsidR="00606EAA" w:rsidRPr="00606EAA" w:rsidRDefault="00606EAA" w:rsidP="00606EAA">
      <w:pPr>
        <w:spacing w:after="0" w:line="240" w:lineRule="auto"/>
        <w:jc w:val="both"/>
        <w:rPr>
          <w:rFonts w:ascii="Open Sans" w:eastAsia="Times New Roman" w:hAnsi="Open Sans" w:cs="Open Sans"/>
          <w:kern w:val="0"/>
          <w:sz w:val="24"/>
          <w:szCs w:val="24"/>
          <w:lang w:eastAsia="en-GB"/>
          <w14:ligatures w14:val="none"/>
        </w:rPr>
      </w:pPr>
    </w:p>
    <w:p w14:paraId="01353392" w14:textId="77777777" w:rsidR="00606EAA" w:rsidRPr="00606EAA" w:rsidRDefault="00606EAA" w:rsidP="00606EAA">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0" w:name="_Toc205055531"/>
      <w:r w:rsidRPr="00606EAA">
        <w:rPr>
          <w:rFonts w:ascii="Open Sans" w:eastAsia="Times New Roman" w:hAnsi="Open Sans" w:cs="Open Sans"/>
          <w:b/>
          <w:bCs/>
          <w:kern w:val="0"/>
          <w:sz w:val="24"/>
          <w:szCs w:val="24"/>
          <w:lang w:eastAsia="en-GB"/>
          <w14:ligatures w14:val="none"/>
        </w:rPr>
        <w:t>1. Purpose and Scope</w:t>
      </w:r>
      <w:bookmarkEnd w:id="0"/>
    </w:p>
    <w:p w14:paraId="71082ACC" w14:textId="77777777" w:rsidR="00606EAA" w:rsidRPr="00606EAA" w:rsidRDefault="00606EAA" w:rsidP="00606EA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This IT Policy defines the principles and controls governing all aspects of information technology within FYM Compliance Limited. It applies to every system, network, application and data store used to deliver our e-money issuance, cash top-up/withdrawal, remittance, FX and direct-debit services. The Policy ensures:</w:t>
      </w:r>
    </w:p>
    <w:p w14:paraId="615ECE3E" w14:textId="77777777" w:rsidR="00606EAA" w:rsidRPr="00606EAA" w:rsidRDefault="00606EAA" w:rsidP="00606EAA">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Security and Integrity of customer funds and personal data</w:t>
      </w:r>
    </w:p>
    <w:p w14:paraId="0D1B08C1" w14:textId="77777777" w:rsidR="00606EAA" w:rsidRPr="00606EAA" w:rsidRDefault="00606EAA" w:rsidP="00606EAA">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Availability of critical payment platforms</w:t>
      </w:r>
    </w:p>
    <w:p w14:paraId="612B7AA0" w14:textId="77777777" w:rsidR="00606EAA" w:rsidRPr="00606EAA" w:rsidRDefault="00606EAA" w:rsidP="00606EAA">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Compliance with FCA Handbook SYSC (Systems and Controls), SUP 15 (Incident Reporting) and SUP 16 (Cyber-security)</w:t>
      </w:r>
    </w:p>
    <w:p w14:paraId="5C0C33E6" w14:textId="77777777" w:rsidR="00606EAA" w:rsidRPr="00606EAA" w:rsidRDefault="00606EAA" w:rsidP="00606EAA">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Alignment with EMRs and PSRs obligations on safeguarding, data protection and reporting</w:t>
      </w:r>
    </w:p>
    <w:p w14:paraId="5B2FEE59" w14:textId="728CA213" w:rsidR="00606EAA" w:rsidRPr="00606EAA" w:rsidRDefault="00606EAA" w:rsidP="00606EAA">
      <w:pPr>
        <w:spacing w:after="0" w:line="240" w:lineRule="auto"/>
        <w:jc w:val="both"/>
        <w:rPr>
          <w:rFonts w:ascii="Open Sans" w:eastAsia="Times New Roman" w:hAnsi="Open Sans" w:cs="Open Sans"/>
          <w:kern w:val="0"/>
          <w:sz w:val="24"/>
          <w:szCs w:val="24"/>
          <w:lang w:eastAsia="en-GB"/>
          <w14:ligatures w14:val="none"/>
        </w:rPr>
      </w:pPr>
    </w:p>
    <w:p w14:paraId="58D7A678" w14:textId="77777777" w:rsidR="00606EAA" w:rsidRPr="00606EAA" w:rsidRDefault="00606EAA" w:rsidP="00606EAA">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1" w:name="_Toc205055532"/>
      <w:r w:rsidRPr="00606EAA">
        <w:rPr>
          <w:rFonts w:ascii="Open Sans" w:eastAsia="Times New Roman" w:hAnsi="Open Sans" w:cs="Open Sans"/>
          <w:b/>
          <w:bCs/>
          <w:kern w:val="0"/>
          <w:sz w:val="24"/>
          <w:szCs w:val="24"/>
          <w:lang w:eastAsia="en-GB"/>
          <w14:ligatures w14:val="none"/>
        </w:rPr>
        <w:t>2. IT Governance and Roles</w:t>
      </w:r>
      <w:bookmarkEnd w:id="1"/>
    </w:p>
    <w:p w14:paraId="641A3723" w14:textId="77777777" w:rsidR="00606EAA" w:rsidRPr="00606EAA" w:rsidRDefault="00606EAA" w:rsidP="00606EA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FYM’s IT governance rests on the Three Lines of Defence model:</w:t>
      </w:r>
    </w:p>
    <w:p w14:paraId="5CC228FB" w14:textId="77777777" w:rsidR="00606EAA" w:rsidRPr="00606EAA" w:rsidRDefault="00606EAA" w:rsidP="00606EAA">
      <w:pPr>
        <w:numPr>
          <w:ilvl w:val="0"/>
          <w:numId w:val="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First Line (Operations &amp; Development): Business and IT teams implement controls, follow secure coding and operational standards, and manage day-to-day system health.</w:t>
      </w:r>
    </w:p>
    <w:p w14:paraId="1FAB1B46" w14:textId="77777777" w:rsidR="00606EAA" w:rsidRPr="00606EAA" w:rsidRDefault="00606EAA" w:rsidP="00606EAA">
      <w:pPr>
        <w:numPr>
          <w:ilvl w:val="0"/>
          <w:numId w:val="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Second Line (Risk &amp; Compliance): The Head of IT Security and the MLRO oversee policy adherence, conduct risk assessments, validate vendor compliance (SYSC 8 Outsourcing), and review IT-related regulatory obligations.</w:t>
      </w:r>
    </w:p>
    <w:p w14:paraId="02420A1A" w14:textId="77777777" w:rsidR="00606EAA" w:rsidRPr="00606EAA" w:rsidRDefault="00606EAA" w:rsidP="00606EAA">
      <w:pPr>
        <w:numPr>
          <w:ilvl w:val="0"/>
          <w:numId w:val="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Third Line (Internal Audit): Independent audits test the design and operational effectiveness of IT controls at least annually, reporting findings directly to the Board’s Audit Committee.</w:t>
      </w:r>
    </w:p>
    <w:p w14:paraId="3A8A275E" w14:textId="77777777" w:rsidR="00606EAA" w:rsidRPr="00606EAA" w:rsidRDefault="00606EAA" w:rsidP="00606EA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lastRenderedPageBreak/>
        <w:t>The Board of Directors retains ultimate accountability for IT risk, formally approving this Policy and reviewing key performance and risk metrics quarterly.</w:t>
      </w:r>
    </w:p>
    <w:p w14:paraId="61150329" w14:textId="6DC9D210" w:rsidR="00606EAA" w:rsidRPr="00606EAA" w:rsidRDefault="00606EAA" w:rsidP="00606EAA">
      <w:pPr>
        <w:spacing w:after="0" w:line="240" w:lineRule="auto"/>
        <w:jc w:val="both"/>
        <w:rPr>
          <w:rFonts w:ascii="Open Sans" w:eastAsia="Times New Roman" w:hAnsi="Open Sans" w:cs="Open Sans"/>
          <w:kern w:val="0"/>
          <w:sz w:val="24"/>
          <w:szCs w:val="24"/>
          <w:lang w:eastAsia="en-GB"/>
          <w14:ligatures w14:val="none"/>
        </w:rPr>
      </w:pPr>
    </w:p>
    <w:p w14:paraId="7E272DB5" w14:textId="77777777" w:rsidR="00606EAA" w:rsidRPr="00606EAA" w:rsidRDefault="00606EAA" w:rsidP="00606EAA">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2" w:name="_Toc205055533"/>
      <w:r w:rsidRPr="00606EAA">
        <w:rPr>
          <w:rFonts w:ascii="Open Sans" w:eastAsia="Times New Roman" w:hAnsi="Open Sans" w:cs="Open Sans"/>
          <w:b/>
          <w:bCs/>
          <w:kern w:val="0"/>
          <w:sz w:val="24"/>
          <w:szCs w:val="24"/>
          <w:lang w:eastAsia="en-GB"/>
          <w14:ligatures w14:val="none"/>
        </w:rPr>
        <w:t>3. Information Security Framework</w:t>
      </w:r>
      <w:bookmarkEnd w:id="2"/>
    </w:p>
    <w:p w14:paraId="40117596" w14:textId="77777777" w:rsidR="00606EAA" w:rsidRPr="00606EAA" w:rsidRDefault="00606EAA" w:rsidP="00606EA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FYM’s security framework is patterned on ISO 27001 and NCSC Cloud Security Principles, with specific enhancements for e-money and payment services:</w:t>
      </w:r>
    </w:p>
    <w:p w14:paraId="78D8C6A4" w14:textId="77777777" w:rsidR="00606EAA" w:rsidRPr="00606EAA" w:rsidRDefault="00606EAA" w:rsidP="00606EAA">
      <w:pPr>
        <w:numPr>
          <w:ilvl w:val="0"/>
          <w:numId w:val="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Risk Assessment: Annual IT risk assessments identify threats (cyber-attacks, insider misuse, third-party failures) and map them to controls within our Enterprise Risk Register.</w:t>
      </w:r>
    </w:p>
    <w:p w14:paraId="2F4988E6" w14:textId="77777777" w:rsidR="00606EAA" w:rsidRPr="00606EAA" w:rsidRDefault="00606EAA" w:rsidP="00606EAA">
      <w:pPr>
        <w:numPr>
          <w:ilvl w:val="0"/>
          <w:numId w:val="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Data Classification: All data is classified as Public, Internal, Confidential or Restricted. Sensitive payment data (PANs, CVVs, credentials) is categorised Restricted and subject to the strongest protections.</w:t>
      </w:r>
    </w:p>
    <w:p w14:paraId="3315BB31" w14:textId="77777777" w:rsidR="00606EAA" w:rsidRPr="00606EAA" w:rsidRDefault="00606EAA" w:rsidP="00606EAA">
      <w:pPr>
        <w:numPr>
          <w:ilvl w:val="0"/>
          <w:numId w:val="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Security Controls:</w:t>
      </w:r>
    </w:p>
    <w:p w14:paraId="63BB2642" w14:textId="77777777" w:rsidR="00606EAA" w:rsidRPr="00606EAA" w:rsidRDefault="00606EAA" w:rsidP="00606EAA">
      <w:pPr>
        <w:numPr>
          <w:ilvl w:val="1"/>
          <w:numId w:val="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Encryption: TLS 1.2+ for data in transit; AES-256 for data at rest and backups.</w:t>
      </w:r>
    </w:p>
    <w:p w14:paraId="1DB79B8E" w14:textId="77777777" w:rsidR="00606EAA" w:rsidRPr="00606EAA" w:rsidRDefault="00606EAA" w:rsidP="00606EAA">
      <w:pPr>
        <w:numPr>
          <w:ilvl w:val="1"/>
          <w:numId w:val="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Network Security: Next-Generation Firewalls, Network Segmentation, IDS/IPS, Web Application Firewalls.</w:t>
      </w:r>
    </w:p>
    <w:p w14:paraId="27D74771" w14:textId="77777777" w:rsidR="00606EAA" w:rsidRPr="00606EAA" w:rsidRDefault="00606EAA" w:rsidP="00606EAA">
      <w:pPr>
        <w:numPr>
          <w:ilvl w:val="1"/>
          <w:numId w:val="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Endpoint Protection: Centralised antivirus/anti-malware, regular vulnerability scans and annual penetration tests.</w:t>
      </w:r>
    </w:p>
    <w:p w14:paraId="08DC7E04" w14:textId="77777777" w:rsidR="00606EAA" w:rsidRPr="00606EAA" w:rsidRDefault="00606EAA" w:rsidP="00606EAA">
      <w:pPr>
        <w:numPr>
          <w:ilvl w:val="1"/>
          <w:numId w:val="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Access Management: Role-Based Access Control (RBAC), Multi-Factor Authentication (MFA), quarterly access reviews.</w:t>
      </w:r>
    </w:p>
    <w:p w14:paraId="0DDB0944" w14:textId="77777777" w:rsidR="00606EAA" w:rsidRPr="00606EAA" w:rsidRDefault="00606EAA" w:rsidP="00606EA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These controls satisfy SUP 16.1.6R’s mandate for “appropriate and proportionate” cybersecurity measures.</w:t>
      </w:r>
    </w:p>
    <w:p w14:paraId="26FF36D1" w14:textId="368029A1" w:rsidR="00606EAA" w:rsidRPr="00606EAA" w:rsidRDefault="00606EAA" w:rsidP="00606EAA">
      <w:pPr>
        <w:spacing w:after="0" w:line="240" w:lineRule="auto"/>
        <w:jc w:val="both"/>
        <w:rPr>
          <w:rFonts w:ascii="Open Sans" w:eastAsia="Times New Roman" w:hAnsi="Open Sans" w:cs="Open Sans"/>
          <w:kern w:val="0"/>
          <w:sz w:val="24"/>
          <w:szCs w:val="24"/>
          <w:lang w:eastAsia="en-GB"/>
          <w14:ligatures w14:val="none"/>
        </w:rPr>
      </w:pPr>
    </w:p>
    <w:p w14:paraId="27E6C3D9" w14:textId="77777777" w:rsidR="00606EAA" w:rsidRPr="00606EAA" w:rsidRDefault="00606EAA" w:rsidP="00606EAA">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3" w:name="_Toc205055534"/>
      <w:r w:rsidRPr="00606EAA">
        <w:rPr>
          <w:rFonts w:ascii="Open Sans" w:eastAsia="Times New Roman" w:hAnsi="Open Sans" w:cs="Open Sans"/>
          <w:b/>
          <w:bCs/>
          <w:kern w:val="0"/>
          <w:sz w:val="24"/>
          <w:szCs w:val="24"/>
          <w:lang w:eastAsia="en-GB"/>
          <w14:ligatures w14:val="none"/>
        </w:rPr>
        <w:t>4. Change Management</w:t>
      </w:r>
      <w:bookmarkEnd w:id="3"/>
    </w:p>
    <w:p w14:paraId="5AF42017" w14:textId="77777777" w:rsidR="00606EAA" w:rsidRPr="00606EAA" w:rsidRDefault="00606EAA" w:rsidP="00606EA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All changes to production systems—software releases, configuration updates and infrastructure modifications—follow a formal Change Management process:</w:t>
      </w:r>
    </w:p>
    <w:p w14:paraId="627FFE66" w14:textId="7868B6D1" w:rsidR="00606EAA" w:rsidRPr="00606EAA" w:rsidRDefault="00606EAA" w:rsidP="00606EAA">
      <w:pPr>
        <w:numPr>
          <w:ilvl w:val="0"/>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 xml:space="preserve">Request and Impact Analysis: Change requests are logged in the </w:t>
      </w:r>
      <w:proofErr w:type="gramStart"/>
      <w:r w:rsidRPr="00606EAA">
        <w:rPr>
          <w:rFonts w:ascii="Open Sans" w:eastAsia="Times New Roman" w:hAnsi="Open Sans" w:cs="Open Sans"/>
          <w:kern w:val="0"/>
          <w:sz w:val="24"/>
          <w:szCs w:val="24"/>
          <w:lang w:eastAsia="en-GB"/>
          <w14:ligatures w14:val="none"/>
        </w:rPr>
        <w:t>ITSM</w:t>
      </w:r>
      <w:r w:rsidR="00146DAE">
        <w:rPr>
          <w:rFonts w:ascii="Open Sans" w:eastAsia="Times New Roman" w:hAnsi="Open Sans" w:cs="Open Sans"/>
          <w:kern w:val="0"/>
          <w:sz w:val="24"/>
          <w:szCs w:val="24"/>
          <w:lang w:eastAsia="en-GB"/>
          <w14:ligatures w14:val="none"/>
        </w:rPr>
        <w:t>(</w:t>
      </w:r>
      <w:proofErr w:type="gramEnd"/>
      <w:r w:rsidR="00146DAE" w:rsidRPr="00146DAE">
        <w:rPr>
          <w:rFonts w:ascii="Open Sans" w:eastAsia="Times New Roman" w:hAnsi="Open Sans" w:cs="Open Sans"/>
          <w:kern w:val="0"/>
          <w:sz w:val="24"/>
          <w:szCs w:val="24"/>
          <w:lang w:eastAsia="en-GB"/>
          <w14:ligatures w14:val="none"/>
        </w:rPr>
        <w:t>IT Service Management</w:t>
      </w:r>
      <w:r w:rsidR="00146DAE">
        <w:rPr>
          <w:rFonts w:ascii="Open Sans" w:eastAsia="Times New Roman" w:hAnsi="Open Sans" w:cs="Open Sans"/>
          <w:kern w:val="0"/>
          <w:sz w:val="24"/>
          <w:szCs w:val="24"/>
          <w:lang w:eastAsia="en-GB"/>
          <w14:ligatures w14:val="none"/>
        </w:rPr>
        <w:t>)</w:t>
      </w:r>
      <w:r w:rsidRPr="00606EAA">
        <w:rPr>
          <w:rFonts w:ascii="Open Sans" w:eastAsia="Times New Roman" w:hAnsi="Open Sans" w:cs="Open Sans"/>
          <w:kern w:val="0"/>
          <w:sz w:val="24"/>
          <w:szCs w:val="24"/>
          <w:lang w:eastAsia="en-GB"/>
          <w14:ligatures w14:val="none"/>
        </w:rPr>
        <w:t xml:space="preserve"> system with documented security, compliance and continuity impacts.</w:t>
      </w:r>
    </w:p>
    <w:p w14:paraId="634F8C68" w14:textId="77777777" w:rsidR="00606EAA" w:rsidRPr="00606EAA" w:rsidRDefault="00606EAA" w:rsidP="00606EAA">
      <w:pPr>
        <w:numPr>
          <w:ilvl w:val="0"/>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Testing and Approval: Changes are tested in a dedicated staging environment against functional, security and performance criteria. The Change Advisory Board (including the MLRO and Head of IT Security) reviews and approves each request.</w:t>
      </w:r>
    </w:p>
    <w:p w14:paraId="7DCA6D8F" w14:textId="77777777" w:rsidR="00606EAA" w:rsidRPr="00606EAA" w:rsidRDefault="00606EAA" w:rsidP="00606EAA">
      <w:pPr>
        <w:numPr>
          <w:ilvl w:val="0"/>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lastRenderedPageBreak/>
        <w:t>Controlled Deployment: Approved changes are deployed during scheduled windows with rollback procedures in place. Post-change reviews verify expected outcomes.</w:t>
      </w:r>
    </w:p>
    <w:p w14:paraId="59DA09D9" w14:textId="77777777" w:rsidR="00606EAA" w:rsidRPr="00606EAA" w:rsidRDefault="00606EAA" w:rsidP="00606EA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This process prevents unintentional service disruptions and aligns with SYSC 7.1.2R’s requirement for formalised controls over system changes.</w:t>
      </w:r>
    </w:p>
    <w:p w14:paraId="1CB8B043" w14:textId="18A2BED8" w:rsidR="00606EAA" w:rsidRPr="00606EAA" w:rsidRDefault="00606EAA" w:rsidP="00606EAA">
      <w:pPr>
        <w:spacing w:after="0" w:line="240" w:lineRule="auto"/>
        <w:jc w:val="both"/>
        <w:rPr>
          <w:rFonts w:ascii="Open Sans" w:eastAsia="Times New Roman" w:hAnsi="Open Sans" w:cs="Open Sans"/>
          <w:kern w:val="0"/>
          <w:sz w:val="24"/>
          <w:szCs w:val="24"/>
          <w:lang w:eastAsia="en-GB"/>
          <w14:ligatures w14:val="none"/>
        </w:rPr>
      </w:pPr>
    </w:p>
    <w:p w14:paraId="744EB96D" w14:textId="77777777" w:rsidR="00606EAA" w:rsidRPr="00606EAA" w:rsidRDefault="00606EAA" w:rsidP="00606EAA">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4" w:name="_Toc205055535"/>
      <w:r w:rsidRPr="00606EAA">
        <w:rPr>
          <w:rFonts w:ascii="Open Sans" w:eastAsia="Times New Roman" w:hAnsi="Open Sans" w:cs="Open Sans"/>
          <w:b/>
          <w:bCs/>
          <w:kern w:val="0"/>
          <w:sz w:val="24"/>
          <w:szCs w:val="24"/>
          <w:lang w:eastAsia="en-GB"/>
          <w14:ligatures w14:val="none"/>
        </w:rPr>
        <w:t>5. Data Management and Retention</w:t>
      </w:r>
      <w:bookmarkEnd w:id="4"/>
    </w:p>
    <w:p w14:paraId="0B2C888E" w14:textId="77777777" w:rsidR="00606EAA" w:rsidRPr="00606EAA" w:rsidRDefault="00606EAA" w:rsidP="00606EA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FYM’s data lifecycle practices guarantee integrity and regulatory compliance:</w:t>
      </w:r>
    </w:p>
    <w:p w14:paraId="467F7019" w14:textId="77777777" w:rsidR="00606EAA" w:rsidRPr="00606EAA" w:rsidRDefault="00606EAA" w:rsidP="00606EAA">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Retention Policies: Transaction and audit logs are retained for at least five years in encrypted, WORM (Write Once Read Many) storage, as required by SUP 15.14.</w:t>
      </w:r>
    </w:p>
    <w:p w14:paraId="21FC57FC" w14:textId="77777777" w:rsidR="00606EAA" w:rsidRPr="00606EAA" w:rsidRDefault="00606EAA" w:rsidP="00606EAA">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Backup and Recovery: Nightly incremental backups and weekly full backups are stored in geographically distinct locations. Recovery Point Objectives (RPO) of 15 minutes and Recovery Time Objectives (RTO) of 2 hours support our Business Continuity Plan.</w:t>
      </w:r>
    </w:p>
    <w:p w14:paraId="68C81D69" w14:textId="77777777" w:rsidR="00606EAA" w:rsidRPr="00606EAA" w:rsidRDefault="00606EAA" w:rsidP="00606EAA">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Data Protection: Personal data is processed according to GDPR; sensitive payment data is handled under PSRs/EMRs safeguarding rules, and subject to tokenisation via HSMs.</w:t>
      </w:r>
    </w:p>
    <w:p w14:paraId="601D2E31" w14:textId="7956F931" w:rsidR="00606EAA" w:rsidRPr="00606EAA" w:rsidRDefault="00606EAA" w:rsidP="00606EAA">
      <w:pPr>
        <w:spacing w:after="0" w:line="240" w:lineRule="auto"/>
        <w:jc w:val="both"/>
        <w:rPr>
          <w:rFonts w:ascii="Open Sans" w:eastAsia="Times New Roman" w:hAnsi="Open Sans" w:cs="Open Sans"/>
          <w:kern w:val="0"/>
          <w:sz w:val="24"/>
          <w:szCs w:val="24"/>
          <w:lang w:eastAsia="en-GB"/>
          <w14:ligatures w14:val="none"/>
        </w:rPr>
      </w:pPr>
    </w:p>
    <w:p w14:paraId="5A8200F7" w14:textId="77777777" w:rsidR="00606EAA" w:rsidRPr="00606EAA" w:rsidRDefault="00606EAA" w:rsidP="00606EAA">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5" w:name="_Toc205055536"/>
      <w:r w:rsidRPr="00606EAA">
        <w:rPr>
          <w:rFonts w:ascii="Open Sans" w:eastAsia="Times New Roman" w:hAnsi="Open Sans" w:cs="Open Sans"/>
          <w:b/>
          <w:bCs/>
          <w:kern w:val="0"/>
          <w:sz w:val="24"/>
          <w:szCs w:val="24"/>
          <w:lang w:eastAsia="en-GB"/>
          <w14:ligatures w14:val="none"/>
        </w:rPr>
        <w:t>6. Incident Management and Reporting</w:t>
      </w:r>
      <w:bookmarkEnd w:id="5"/>
    </w:p>
    <w:p w14:paraId="486BE48A" w14:textId="77777777" w:rsidR="00606EAA" w:rsidRPr="00606EAA" w:rsidRDefault="00606EAA" w:rsidP="00606EA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FYM’s Incident Management framework ensures rapid detection, containment and regulatory notification:</w:t>
      </w:r>
    </w:p>
    <w:p w14:paraId="6E2B4FAE" w14:textId="47042E09" w:rsidR="00606EAA" w:rsidRPr="00606EAA" w:rsidRDefault="00606EAA" w:rsidP="00606EAA">
      <w:pPr>
        <w:numPr>
          <w:ilvl w:val="0"/>
          <w:numId w:val="6"/>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 xml:space="preserve">Detection: SIEM ingests logs from systems, networks and applications, generating alerts for anomalies (failed logins, abnormal transaction patterns, </w:t>
      </w:r>
      <w:r w:rsidR="00146DAE" w:rsidRPr="00606EAA">
        <w:rPr>
          <w:rFonts w:ascii="Open Sans" w:eastAsia="Times New Roman" w:hAnsi="Open Sans" w:cs="Open Sans"/>
          <w:kern w:val="0"/>
          <w:sz w:val="24"/>
          <w:szCs w:val="24"/>
          <w:lang w:eastAsia="en-GB"/>
          <w14:ligatures w14:val="none"/>
        </w:rPr>
        <w:t>DDoS</w:t>
      </w:r>
      <w:r w:rsidR="00146DAE">
        <w:rPr>
          <w:rFonts w:ascii="Open Sans" w:eastAsia="Times New Roman" w:hAnsi="Open Sans" w:cs="Open Sans"/>
          <w:kern w:val="0"/>
          <w:sz w:val="24"/>
          <w:szCs w:val="24"/>
          <w:lang w:eastAsia="en-GB"/>
          <w14:ligatures w14:val="none"/>
        </w:rPr>
        <w:t xml:space="preserve"> (</w:t>
      </w:r>
      <w:r w:rsidR="00146DAE" w:rsidRPr="00146DAE">
        <w:rPr>
          <w:rFonts w:ascii="Open Sans" w:eastAsia="Times New Roman" w:hAnsi="Open Sans" w:cs="Open Sans"/>
          <w:kern w:val="0"/>
          <w:sz w:val="24"/>
          <w:szCs w:val="24"/>
          <w:lang w:eastAsia="en-GB"/>
          <w14:ligatures w14:val="none"/>
        </w:rPr>
        <w:t>Distributed Denial-of-Service</w:t>
      </w:r>
      <w:r w:rsidR="00146DAE">
        <w:rPr>
          <w:rFonts w:ascii="Open Sans" w:eastAsia="Times New Roman" w:hAnsi="Open Sans" w:cs="Open Sans"/>
          <w:kern w:val="0"/>
          <w:sz w:val="24"/>
          <w:szCs w:val="24"/>
          <w:lang w:eastAsia="en-GB"/>
          <w14:ligatures w14:val="none"/>
        </w:rPr>
        <w:t>)</w:t>
      </w:r>
      <w:r w:rsidRPr="00606EAA">
        <w:rPr>
          <w:rFonts w:ascii="Open Sans" w:eastAsia="Times New Roman" w:hAnsi="Open Sans" w:cs="Open Sans"/>
          <w:kern w:val="0"/>
          <w:sz w:val="24"/>
          <w:szCs w:val="24"/>
          <w:lang w:eastAsia="en-GB"/>
          <w14:ligatures w14:val="none"/>
        </w:rPr>
        <w:t xml:space="preserve"> attempts.</w:t>
      </w:r>
    </w:p>
    <w:p w14:paraId="0E9CC657" w14:textId="77777777" w:rsidR="00606EAA" w:rsidRPr="00606EAA" w:rsidRDefault="00606EAA" w:rsidP="00606EAA">
      <w:pPr>
        <w:numPr>
          <w:ilvl w:val="0"/>
          <w:numId w:val="6"/>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Response: The Incident Response Team (IRT), led by the Head of IT Security and the MLRO, follows documented playbooks to classify, contain and eradicate incidents.</w:t>
      </w:r>
    </w:p>
    <w:p w14:paraId="2F71C276" w14:textId="77777777" w:rsidR="00606EAA" w:rsidRPr="00606EAA" w:rsidRDefault="00606EAA" w:rsidP="00606EAA">
      <w:pPr>
        <w:numPr>
          <w:ilvl w:val="0"/>
          <w:numId w:val="6"/>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Escalation: Major incidents are escalated to senior management within one hour and to the FCA without undue delay under SUP 15.14, with formal notifications via Connect.</w:t>
      </w:r>
    </w:p>
    <w:p w14:paraId="3A3DEDF4" w14:textId="77777777" w:rsidR="00606EAA" w:rsidRPr="00606EAA" w:rsidRDefault="00606EAA" w:rsidP="00606EAA">
      <w:pPr>
        <w:numPr>
          <w:ilvl w:val="0"/>
          <w:numId w:val="6"/>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Lessons Learned: Post-incident reviews feed into Policy and system enhancements, closing any identified gaps.</w:t>
      </w:r>
    </w:p>
    <w:p w14:paraId="74DE6F3F" w14:textId="4CE14669" w:rsidR="00606EAA" w:rsidRPr="00606EAA" w:rsidRDefault="00606EAA" w:rsidP="00606EAA">
      <w:pPr>
        <w:spacing w:after="0" w:line="240" w:lineRule="auto"/>
        <w:jc w:val="both"/>
        <w:rPr>
          <w:rFonts w:ascii="Open Sans" w:eastAsia="Times New Roman" w:hAnsi="Open Sans" w:cs="Open Sans"/>
          <w:kern w:val="0"/>
          <w:sz w:val="24"/>
          <w:szCs w:val="24"/>
          <w:lang w:eastAsia="en-GB"/>
          <w14:ligatures w14:val="none"/>
        </w:rPr>
      </w:pPr>
    </w:p>
    <w:p w14:paraId="145EBA47" w14:textId="77777777" w:rsidR="00606EAA" w:rsidRPr="00606EAA" w:rsidRDefault="00606EAA" w:rsidP="00606EAA">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6" w:name="_Toc205055537"/>
      <w:r w:rsidRPr="00606EAA">
        <w:rPr>
          <w:rFonts w:ascii="Open Sans" w:eastAsia="Times New Roman" w:hAnsi="Open Sans" w:cs="Open Sans"/>
          <w:b/>
          <w:bCs/>
          <w:kern w:val="0"/>
          <w:sz w:val="24"/>
          <w:szCs w:val="24"/>
          <w:lang w:eastAsia="en-GB"/>
          <w14:ligatures w14:val="none"/>
        </w:rPr>
        <w:lastRenderedPageBreak/>
        <w:t>7. Business Continuity and Disaster Recovery</w:t>
      </w:r>
      <w:bookmarkEnd w:id="6"/>
    </w:p>
    <w:p w14:paraId="111CE8F9" w14:textId="77777777" w:rsidR="00606EAA" w:rsidRPr="00606EAA" w:rsidRDefault="00606EAA" w:rsidP="00606EA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To maintain uninterrupted payment services, we maintain a tested Business Continuity Plan (BCP) and Disaster Recovery Plan (DRP):</w:t>
      </w:r>
    </w:p>
    <w:p w14:paraId="1D224E42" w14:textId="61427866" w:rsidR="00606EAA" w:rsidRPr="00606EAA" w:rsidRDefault="00606EAA" w:rsidP="00606EAA">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 xml:space="preserve">Critical Systems Mapping: Identifies e-money ledger, compliance case-management and customer-facing APIs as Tier 1 services, each with documented </w:t>
      </w:r>
      <w:r w:rsidR="002957CB" w:rsidRPr="00606EAA">
        <w:rPr>
          <w:rFonts w:ascii="Open Sans" w:eastAsia="Times New Roman" w:hAnsi="Open Sans" w:cs="Open Sans"/>
          <w:kern w:val="0"/>
          <w:sz w:val="24"/>
          <w:szCs w:val="24"/>
          <w:lang w:eastAsia="en-GB"/>
          <w14:ligatures w14:val="none"/>
        </w:rPr>
        <w:t>MTD</w:t>
      </w:r>
      <w:r w:rsidR="002957CB">
        <w:rPr>
          <w:rFonts w:ascii="Open Sans" w:eastAsia="Times New Roman" w:hAnsi="Open Sans" w:cs="Open Sans"/>
          <w:kern w:val="0"/>
          <w:sz w:val="24"/>
          <w:szCs w:val="24"/>
          <w:lang w:eastAsia="en-GB"/>
          <w14:ligatures w14:val="none"/>
        </w:rPr>
        <w:t xml:space="preserve"> (</w:t>
      </w:r>
      <w:r w:rsidR="002957CB" w:rsidRPr="002957CB">
        <w:rPr>
          <w:rFonts w:ascii="Open Sans" w:eastAsia="Times New Roman" w:hAnsi="Open Sans" w:cs="Open Sans"/>
          <w:kern w:val="0"/>
          <w:sz w:val="24"/>
          <w:szCs w:val="24"/>
          <w:lang w:eastAsia="en-GB"/>
          <w14:ligatures w14:val="none"/>
        </w:rPr>
        <w:t>Maximum Tolerable Downtime)</w:t>
      </w:r>
      <w:r w:rsidRPr="00606EAA">
        <w:rPr>
          <w:rFonts w:ascii="Open Sans" w:eastAsia="Times New Roman" w:hAnsi="Open Sans" w:cs="Open Sans"/>
          <w:kern w:val="0"/>
          <w:sz w:val="24"/>
          <w:szCs w:val="24"/>
          <w:lang w:eastAsia="en-GB"/>
          <w14:ligatures w14:val="none"/>
        </w:rPr>
        <w:t xml:space="preserve">, </w:t>
      </w:r>
      <w:r w:rsidR="002957CB" w:rsidRPr="00606EAA">
        <w:rPr>
          <w:rFonts w:ascii="Open Sans" w:eastAsia="Times New Roman" w:hAnsi="Open Sans" w:cs="Open Sans"/>
          <w:kern w:val="0"/>
          <w:sz w:val="24"/>
          <w:szCs w:val="24"/>
          <w:lang w:eastAsia="en-GB"/>
          <w14:ligatures w14:val="none"/>
        </w:rPr>
        <w:t>RTO</w:t>
      </w:r>
      <w:r w:rsidR="002957CB">
        <w:rPr>
          <w:rFonts w:ascii="Open Sans" w:eastAsia="Times New Roman" w:hAnsi="Open Sans" w:cs="Open Sans"/>
          <w:kern w:val="0"/>
          <w:sz w:val="24"/>
          <w:szCs w:val="24"/>
          <w:lang w:eastAsia="en-GB"/>
          <w14:ligatures w14:val="none"/>
        </w:rPr>
        <w:t xml:space="preserve"> (</w:t>
      </w:r>
      <w:r w:rsidR="002957CB" w:rsidRPr="002957CB">
        <w:rPr>
          <w:rFonts w:ascii="Open Sans" w:eastAsia="Times New Roman" w:hAnsi="Open Sans" w:cs="Open Sans"/>
          <w:kern w:val="0"/>
          <w:sz w:val="24"/>
          <w:szCs w:val="24"/>
          <w:lang w:eastAsia="en-GB"/>
          <w14:ligatures w14:val="none"/>
        </w:rPr>
        <w:t>Recovery Time Objective</w:t>
      </w:r>
      <w:r w:rsidRPr="00606EAA">
        <w:rPr>
          <w:rFonts w:ascii="Open Sans" w:eastAsia="Times New Roman" w:hAnsi="Open Sans" w:cs="Open Sans"/>
          <w:kern w:val="0"/>
          <w:sz w:val="24"/>
          <w:szCs w:val="24"/>
          <w:lang w:eastAsia="en-GB"/>
          <w14:ligatures w14:val="none"/>
        </w:rPr>
        <w:t xml:space="preserve"> and </w:t>
      </w:r>
      <w:r w:rsidR="002957CB" w:rsidRPr="00606EAA">
        <w:rPr>
          <w:rFonts w:ascii="Open Sans" w:eastAsia="Times New Roman" w:hAnsi="Open Sans" w:cs="Open Sans"/>
          <w:kern w:val="0"/>
          <w:sz w:val="24"/>
          <w:szCs w:val="24"/>
          <w:lang w:eastAsia="en-GB"/>
          <w14:ligatures w14:val="none"/>
        </w:rPr>
        <w:t>RPO</w:t>
      </w:r>
      <w:r w:rsidR="002957CB">
        <w:rPr>
          <w:rFonts w:ascii="Open Sans" w:eastAsia="Times New Roman" w:hAnsi="Open Sans" w:cs="Open Sans"/>
          <w:kern w:val="0"/>
          <w:sz w:val="24"/>
          <w:szCs w:val="24"/>
          <w:lang w:eastAsia="en-GB"/>
          <w14:ligatures w14:val="none"/>
        </w:rPr>
        <w:t xml:space="preserve"> (</w:t>
      </w:r>
      <w:r w:rsidR="002957CB" w:rsidRPr="002957CB">
        <w:rPr>
          <w:rFonts w:ascii="Open Sans" w:eastAsia="Times New Roman" w:hAnsi="Open Sans" w:cs="Open Sans"/>
          <w:kern w:val="0"/>
          <w:sz w:val="24"/>
          <w:szCs w:val="24"/>
          <w:lang w:eastAsia="en-GB"/>
          <w14:ligatures w14:val="none"/>
        </w:rPr>
        <w:t>Recovery Point Objective)</w:t>
      </w:r>
      <w:r w:rsidRPr="00606EAA">
        <w:rPr>
          <w:rFonts w:ascii="Open Sans" w:eastAsia="Times New Roman" w:hAnsi="Open Sans" w:cs="Open Sans"/>
          <w:kern w:val="0"/>
          <w:sz w:val="24"/>
          <w:szCs w:val="24"/>
          <w:lang w:eastAsia="en-GB"/>
          <w14:ligatures w14:val="none"/>
        </w:rPr>
        <w:t>.</w:t>
      </w:r>
    </w:p>
    <w:p w14:paraId="4820FD7D" w14:textId="77777777" w:rsidR="00606EAA" w:rsidRPr="00606EAA" w:rsidRDefault="00606EAA" w:rsidP="00606EAA">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Regular Testing: Semi-annual tabletop exercises and quarterly live failover drills validate recovery procedures. Results are recorded in the BCP Test Register and reviewed by the Compliance Committee.</w:t>
      </w:r>
    </w:p>
    <w:p w14:paraId="34A97123" w14:textId="77777777" w:rsidR="00606EAA" w:rsidRPr="00606EAA" w:rsidRDefault="00606EAA" w:rsidP="00606EAA">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Alternate Operations: Staff can switch to remote-working mode with secure VPN, and hot-desk arrangements at secondary sites ensure continuity of key functions.</w:t>
      </w:r>
    </w:p>
    <w:p w14:paraId="6366258D" w14:textId="059C010F" w:rsidR="00606EAA" w:rsidRPr="00606EAA" w:rsidRDefault="00606EAA" w:rsidP="00606EAA">
      <w:pPr>
        <w:spacing w:after="0" w:line="240" w:lineRule="auto"/>
        <w:jc w:val="both"/>
        <w:rPr>
          <w:rFonts w:ascii="Open Sans" w:eastAsia="Times New Roman" w:hAnsi="Open Sans" w:cs="Open Sans"/>
          <w:kern w:val="0"/>
          <w:sz w:val="24"/>
          <w:szCs w:val="24"/>
          <w:lang w:eastAsia="en-GB"/>
          <w14:ligatures w14:val="none"/>
        </w:rPr>
      </w:pPr>
    </w:p>
    <w:p w14:paraId="60BB8A42" w14:textId="77777777" w:rsidR="00606EAA" w:rsidRPr="00606EAA" w:rsidRDefault="00606EAA" w:rsidP="00606EAA">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7" w:name="_Toc205055538"/>
      <w:r w:rsidRPr="00606EAA">
        <w:rPr>
          <w:rFonts w:ascii="Open Sans" w:eastAsia="Times New Roman" w:hAnsi="Open Sans" w:cs="Open Sans"/>
          <w:b/>
          <w:bCs/>
          <w:kern w:val="0"/>
          <w:sz w:val="24"/>
          <w:szCs w:val="24"/>
          <w:lang w:eastAsia="en-GB"/>
          <w14:ligatures w14:val="none"/>
        </w:rPr>
        <w:t>8. Vendor and Outsourcing Management</w:t>
      </w:r>
      <w:bookmarkEnd w:id="7"/>
    </w:p>
    <w:p w14:paraId="15B3DF5E" w14:textId="77777777" w:rsidR="00606EAA" w:rsidRPr="00606EAA" w:rsidRDefault="00606EAA" w:rsidP="00606EA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FYM’s reliance on third-party services (e.g. Macrobank, KYC providers, cloud hosting) is governed by FCA Handbook SYSC 8:</w:t>
      </w:r>
    </w:p>
    <w:p w14:paraId="308CE760" w14:textId="77777777" w:rsidR="00606EAA" w:rsidRPr="00606EAA" w:rsidRDefault="00606EAA" w:rsidP="00606EAA">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Due Diligence: Pre-engagement assessments evaluate financial stability, security posture and regulatory status.</w:t>
      </w:r>
    </w:p>
    <w:p w14:paraId="289519A1" w14:textId="77777777" w:rsidR="00606EAA" w:rsidRPr="00606EAA" w:rsidRDefault="00606EAA" w:rsidP="00606EAA">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Contractual Safeguards: SLAs define uptime, response times, audit rights and termination triggers for material breaches.</w:t>
      </w:r>
    </w:p>
    <w:p w14:paraId="7B050176" w14:textId="77777777" w:rsidR="00606EAA" w:rsidRPr="00606EAA" w:rsidRDefault="00606EAA" w:rsidP="00606EAA">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Ongoing Oversight: Vendor performance and compliance are monitored quarterly; any high-risk partner is subject to annual on-site or remote audit.</w:t>
      </w:r>
    </w:p>
    <w:p w14:paraId="0A16131E" w14:textId="633F11D5" w:rsidR="00606EAA" w:rsidRPr="00606EAA" w:rsidRDefault="00606EAA" w:rsidP="00606EAA">
      <w:pPr>
        <w:spacing w:after="0" w:line="240" w:lineRule="auto"/>
        <w:jc w:val="both"/>
        <w:rPr>
          <w:rFonts w:ascii="Open Sans" w:eastAsia="Times New Roman" w:hAnsi="Open Sans" w:cs="Open Sans"/>
          <w:kern w:val="0"/>
          <w:sz w:val="24"/>
          <w:szCs w:val="24"/>
          <w:lang w:eastAsia="en-GB"/>
          <w14:ligatures w14:val="none"/>
        </w:rPr>
      </w:pPr>
    </w:p>
    <w:p w14:paraId="0BE81422" w14:textId="77777777" w:rsidR="00606EAA" w:rsidRPr="00606EAA" w:rsidRDefault="00606EAA" w:rsidP="00606EAA">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8" w:name="_Toc205055539"/>
      <w:r w:rsidRPr="00606EAA">
        <w:rPr>
          <w:rFonts w:ascii="Open Sans" w:eastAsia="Times New Roman" w:hAnsi="Open Sans" w:cs="Open Sans"/>
          <w:b/>
          <w:bCs/>
          <w:kern w:val="0"/>
          <w:sz w:val="24"/>
          <w:szCs w:val="24"/>
          <w:lang w:eastAsia="en-GB"/>
          <w14:ligatures w14:val="none"/>
        </w:rPr>
        <w:t>9. Compliance Monitoring and Continuous Improvement</w:t>
      </w:r>
      <w:bookmarkEnd w:id="8"/>
    </w:p>
    <w:p w14:paraId="61591299" w14:textId="77777777" w:rsidR="00606EAA" w:rsidRPr="00606EAA" w:rsidRDefault="00606EAA" w:rsidP="00606EA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Ensuring ongoing relevance and effectiveness, FYM’s compliance teams oversee IT controls through:</w:t>
      </w:r>
    </w:p>
    <w:p w14:paraId="312B64E7" w14:textId="77777777" w:rsidR="00606EAA" w:rsidRPr="00606EAA" w:rsidRDefault="00606EAA" w:rsidP="00606EAA">
      <w:pPr>
        <w:numPr>
          <w:ilvl w:val="0"/>
          <w:numId w:val="9"/>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Key Risk Indicators (KRIs): Monthly dashboards track patching compliance, security incidents, service-availability metrics and change success rates.</w:t>
      </w:r>
    </w:p>
    <w:p w14:paraId="68CACC48" w14:textId="77777777" w:rsidR="00606EAA" w:rsidRPr="00606EAA" w:rsidRDefault="00606EAA" w:rsidP="00606EAA">
      <w:pPr>
        <w:numPr>
          <w:ilvl w:val="0"/>
          <w:numId w:val="9"/>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t>Management Reporting: Quarterly IT performance and risk reports are presented to the Board’s Risk Committee, highlighting trends and remediation progress.</w:t>
      </w:r>
    </w:p>
    <w:p w14:paraId="68C8C7C9" w14:textId="7A199EDA" w:rsidR="00572695" w:rsidRPr="00606EAA" w:rsidRDefault="00606EAA" w:rsidP="00606EAA">
      <w:pPr>
        <w:numPr>
          <w:ilvl w:val="0"/>
          <w:numId w:val="9"/>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06EAA">
        <w:rPr>
          <w:rFonts w:ascii="Open Sans" w:eastAsia="Times New Roman" w:hAnsi="Open Sans" w:cs="Open Sans"/>
          <w:kern w:val="0"/>
          <w:sz w:val="24"/>
          <w:szCs w:val="24"/>
          <w:lang w:eastAsia="en-GB"/>
          <w14:ligatures w14:val="none"/>
        </w:rPr>
        <w:lastRenderedPageBreak/>
        <w:t>Policy Review: This IT Policy is reviewed annually or upon major regulatory changes, incorporating FCA Handbook updates, EBA guidance and internal audit findings.</w:t>
      </w:r>
    </w:p>
    <w:sectPr w:rsidR="00572695" w:rsidRPr="00606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995"/>
    <w:multiLevelType w:val="multilevel"/>
    <w:tmpl w:val="54A4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14BEE"/>
    <w:multiLevelType w:val="multilevel"/>
    <w:tmpl w:val="78EEB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E4CE2"/>
    <w:multiLevelType w:val="multilevel"/>
    <w:tmpl w:val="8240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05F6B"/>
    <w:multiLevelType w:val="multilevel"/>
    <w:tmpl w:val="A5A4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424AD"/>
    <w:multiLevelType w:val="multilevel"/>
    <w:tmpl w:val="7CA6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42146"/>
    <w:multiLevelType w:val="multilevel"/>
    <w:tmpl w:val="473C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0D1A01"/>
    <w:multiLevelType w:val="multilevel"/>
    <w:tmpl w:val="7BA0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B7572"/>
    <w:multiLevelType w:val="multilevel"/>
    <w:tmpl w:val="B7A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52537"/>
    <w:multiLevelType w:val="multilevel"/>
    <w:tmpl w:val="B98E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3959111">
    <w:abstractNumId w:val="0"/>
  </w:num>
  <w:num w:numId="2" w16cid:durableId="1346178292">
    <w:abstractNumId w:val="5"/>
  </w:num>
  <w:num w:numId="3" w16cid:durableId="51198465">
    <w:abstractNumId w:val="1"/>
  </w:num>
  <w:num w:numId="4" w16cid:durableId="1358845482">
    <w:abstractNumId w:val="8"/>
  </w:num>
  <w:num w:numId="5" w16cid:durableId="819155420">
    <w:abstractNumId w:val="6"/>
  </w:num>
  <w:num w:numId="6" w16cid:durableId="1305888367">
    <w:abstractNumId w:val="3"/>
  </w:num>
  <w:num w:numId="7" w16cid:durableId="597374579">
    <w:abstractNumId w:val="7"/>
  </w:num>
  <w:num w:numId="8" w16cid:durableId="1045719998">
    <w:abstractNumId w:val="2"/>
  </w:num>
  <w:num w:numId="9" w16cid:durableId="20819742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AA"/>
    <w:rsid w:val="00146DAE"/>
    <w:rsid w:val="001E6F60"/>
    <w:rsid w:val="002957CB"/>
    <w:rsid w:val="00503E87"/>
    <w:rsid w:val="00572695"/>
    <w:rsid w:val="00606EAA"/>
    <w:rsid w:val="00687C39"/>
    <w:rsid w:val="009F4A8E"/>
    <w:rsid w:val="00AD76F6"/>
    <w:rsid w:val="00D904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13EEF"/>
  <w15:chartTrackingRefBased/>
  <w15:docId w15:val="{6B52E6CB-5123-47A3-8D4A-B3CD94BC2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AA"/>
    <w:rPr>
      <w:rFonts w:eastAsiaTheme="majorEastAsia" w:cstheme="majorBidi"/>
      <w:color w:val="272727" w:themeColor="text1" w:themeTint="D8"/>
    </w:rPr>
  </w:style>
  <w:style w:type="paragraph" w:styleId="Title">
    <w:name w:val="Title"/>
    <w:basedOn w:val="Normal"/>
    <w:next w:val="Normal"/>
    <w:link w:val="TitleChar"/>
    <w:uiPriority w:val="10"/>
    <w:qFormat/>
    <w:rsid w:val="00606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EAA"/>
    <w:pPr>
      <w:spacing w:before="160"/>
      <w:jc w:val="center"/>
    </w:pPr>
    <w:rPr>
      <w:i/>
      <w:iCs/>
      <w:color w:val="404040" w:themeColor="text1" w:themeTint="BF"/>
    </w:rPr>
  </w:style>
  <w:style w:type="character" w:customStyle="1" w:styleId="QuoteChar">
    <w:name w:val="Quote Char"/>
    <w:basedOn w:val="DefaultParagraphFont"/>
    <w:link w:val="Quote"/>
    <w:uiPriority w:val="29"/>
    <w:rsid w:val="00606EAA"/>
    <w:rPr>
      <w:i/>
      <w:iCs/>
      <w:color w:val="404040" w:themeColor="text1" w:themeTint="BF"/>
    </w:rPr>
  </w:style>
  <w:style w:type="paragraph" w:styleId="ListParagraph">
    <w:name w:val="List Paragraph"/>
    <w:basedOn w:val="Normal"/>
    <w:uiPriority w:val="34"/>
    <w:qFormat/>
    <w:rsid w:val="00606EAA"/>
    <w:pPr>
      <w:ind w:left="720"/>
      <w:contextualSpacing/>
    </w:pPr>
  </w:style>
  <w:style w:type="character" w:styleId="IntenseEmphasis">
    <w:name w:val="Intense Emphasis"/>
    <w:basedOn w:val="DefaultParagraphFont"/>
    <w:uiPriority w:val="21"/>
    <w:qFormat/>
    <w:rsid w:val="00606EAA"/>
    <w:rPr>
      <w:i/>
      <w:iCs/>
      <w:color w:val="0F4761" w:themeColor="accent1" w:themeShade="BF"/>
    </w:rPr>
  </w:style>
  <w:style w:type="paragraph" w:styleId="IntenseQuote">
    <w:name w:val="Intense Quote"/>
    <w:basedOn w:val="Normal"/>
    <w:next w:val="Normal"/>
    <w:link w:val="IntenseQuoteChar"/>
    <w:uiPriority w:val="30"/>
    <w:qFormat/>
    <w:rsid w:val="00606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EAA"/>
    <w:rPr>
      <w:i/>
      <w:iCs/>
      <w:color w:val="0F4761" w:themeColor="accent1" w:themeShade="BF"/>
    </w:rPr>
  </w:style>
  <w:style w:type="character" w:styleId="IntenseReference">
    <w:name w:val="Intense Reference"/>
    <w:basedOn w:val="DefaultParagraphFont"/>
    <w:uiPriority w:val="32"/>
    <w:qFormat/>
    <w:rsid w:val="00606EAA"/>
    <w:rPr>
      <w:b/>
      <w:bCs/>
      <w:smallCaps/>
      <w:color w:val="0F4761" w:themeColor="accent1" w:themeShade="BF"/>
      <w:spacing w:val="5"/>
    </w:rPr>
  </w:style>
  <w:style w:type="paragraph" w:styleId="TOC1">
    <w:name w:val="toc 1"/>
    <w:basedOn w:val="Normal"/>
    <w:next w:val="Normal"/>
    <w:autoRedefine/>
    <w:uiPriority w:val="39"/>
    <w:unhideWhenUsed/>
    <w:rsid w:val="00606EAA"/>
    <w:pPr>
      <w:spacing w:before="120" w:after="120"/>
    </w:pPr>
    <w:rPr>
      <w:b/>
      <w:bCs/>
      <w:caps/>
      <w:sz w:val="20"/>
      <w:szCs w:val="20"/>
    </w:rPr>
  </w:style>
  <w:style w:type="paragraph" w:styleId="TOC2">
    <w:name w:val="toc 2"/>
    <w:basedOn w:val="Normal"/>
    <w:next w:val="Normal"/>
    <w:autoRedefine/>
    <w:uiPriority w:val="39"/>
    <w:unhideWhenUsed/>
    <w:rsid w:val="00606EAA"/>
    <w:pPr>
      <w:spacing w:after="0"/>
      <w:ind w:left="220"/>
    </w:pPr>
    <w:rPr>
      <w:smallCaps/>
      <w:sz w:val="20"/>
      <w:szCs w:val="20"/>
    </w:rPr>
  </w:style>
  <w:style w:type="paragraph" w:styleId="TOC3">
    <w:name w:val="toc 3"/>
    <w:basedOn w:val="Normal"/>
    <w:next w:val="Normal"/>
    <w:autoRedefine/>
    <w:uiPriority w:val="39"/>
    <w:unhideWhenUsed/>
    <w:rsid w:val="00606EAA"/>
    <w:pPr>
      <w:spacing w:after="0"/>
      <w:ind w:left="440"/>
    </w:pPr>
    <w:rPr>
      <w:i/>
      <w:iCs/>
      <w:sz w:val="20"/>
      <w:szCs w:val="20"/>
    </w:rPr>
  </w:style>
  <w:style w:type="paragraph" w:styleId="TOC4">
    <w:name w:val="toc 4"/>
    <w:basedOn w:val="Normal"/>
    <w:next w:val="Normal"/>
    <w:autoRedefine/>
    <w:uiPriority w:val="39"/>
    <w:unhideWhenUsed/>
    <w:rsid w:val="00606EAA"/>
    <w:pPr>
      <w:spacing w:after="0"/>
      <w:ind w:left="660"/>
    </w:pPr>
    <w:rPr>
      <w:sz w:val="18"/>
      <w:szCs w:val="18"/>
    </w:rPr>
  </w:style>
  <w:style w:type="paragraph" w:styleId="TOC5">
    <w:name w:val="toc 5"/>
    <w:basedOn w:val="Normal"/>
    <w:next w:val="Normal"/>
    <w:autoRedefine/>
    <w:uiPriority w:val="39"/>
    <w:unhideWhenUsed/>
    <w:rsid w:val="00606EAA"/>
    <w:pPr>
      <w:spacing w:after="0"/>
      <w:ind w:left="880"/>
    </w:pPr>
    <w:rPr>
      <w:sz w:val="18"/>
      <w:szCs w:val="18"/>
    </w:rPr>
  </w:style>
  <w:style w:type="paragraph" w:styleId="TOC6">
    <w:name w:val="toc 6"/>
    <w:basedOn w:val="Normal"/>
    <w:next w:val="Normal"/>
    <w:autoRedefine/>
    <w:uiPriority w:val="39"/>
    <w:unhideWhenUsed/>
    <w:rsid w:val="00606EAA"/>
    <w:pPr>
      <w:spacing w:after="0"/>
      <w:ind w:left="1100"/>
    </w:pPr>
    <w:rPr>
      <w:sz w:val="18"/>
      <w:szCs w:val="18"/>
    </w:rPr>
  </w:style>
  <w:style w:type="paragraph" w:styleId="TOC7">
    <w:name w:val="toc 7"/>
    <w:basedOn w:val="Normal"/>
    <w:next w:val="Normal"/>
    <w:autoRedefine/>
    <w:uiPriority w:val="39"/>
    <w:unhideWhenUsed/>
    <w:rsid w:val="00606EAA"/>
    <w:pPr>
      <w:spacing w:after="0"/>
      <w:ind w:left="1320"/>
    </w:pPr>
    <w:rPr>
      <w:sz w:val="18"/>
      <w:szCs w:val="18"/>
    </w:rPr>
  </w:style>
  <w:style w:type="paragraph" w:styleId="TOC8">
    <w:name w:val="toc 8"/>
    <w:basedOn w:val="Normal"/>
    <w:next w:val="Normal"/>
    <w:autoRedefine/>
    <w:uiPriority w:val="39"/>
    <w:unhideWhenUsed/>
    <w:rsid w:val="00606EAA"/>
    <w:pPr>
      <w:spacing w:after="0"/>
      <w:ind w:left="1540"/>
    </w:pPr>
    <w:rPr>
      <w:sz w:val="18"/>
      <w:szCs w:val="18"/>
    </w:rPr>
  </w:style>
  <w:style w:type="paragraph" w:styleId="TOC9">
    <w:name w:val="toc 9"/>
    <w:basedOn w:val="Normal"/>
    <w:next w:val="Normal"/>
    <w:autoRedefine/>
    <w:uiPriority w:val="39"/>
    <w:unhideWhenUsed/>
    <w:rsid w:val="00606EAA"/>
    <w:pPr>
      <w:spacing w:after="0"/>
      <w:ind w:left="1760"/>
    </w:pPr>
    <w:rPr>
      <w:sz w:val="18"/>
      <w:szCs w:val="18"/>
    </w:rPr>
  </w:style>
  <w:style w:type="character" w:styleId="Hyperlink">
    <w:name w:val="Hyperlink"/>
    <w:basedOn w:val="DefaultParagraphFont"/>
    <w:uiPriority w:val="99"/>
    <w:unhideWhenUsed/>
    <w:rsid w:val="00606EA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1259</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FManu (FYM)</dc:creator>
  <cp:keywords/>
  <dc:description/>
  <cp:lastModifiedBy>FManu (FYM)</cp:lastModifiedBy>
  <cp:revision>3</cp:revision>
  <cp:lastPrinted>2025-08-06T12:55:00Z</cp:lastPrinted>
  <dcterms:created xsi:type="dcterms:W3CDTF">2025-08-02T18:25:00Z</dcterms:created>
  <dcterms:modified xsi:type="dcterms:W3CDTF">2025-08-06T12:55:00Z</dcterms:modified>
</cp:coreProperties>
</file>