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B670" w14:textId="4C1FF417" w:rsidR="00B540EF" w:rsidRPr="00B540EF" w:rsidRDefault="00B540EF" w:rsidP="00B540EF">
      <w:pPr>
        <w:rPr>
          <w:rFonts w:ascii="Open Sans" w:hAnsi="Open Sans" w:cs="Open Sans"/>
          <w:b/>
          <w:bCs/>
          <w:sz w:val="56"/>
          <w:szCs w:val="56"/>
        </w:rPr>
      </w:pPr>
      <w:r w:rsidRPr="00B540EF">
        <w:rPr>
          <w:rFonts w:ascii="Open Sans" w:hAnsi="Open Sans" w:cs="Open Sans"/>
          <w:b/>
          <w:bCs/>
          <w:sz w:val="56"/>
          <w:szCs w:val="56"/>
        </w:rPr>
        <w:t>IT SYSTEM</w:t>
      </w:r>
    </w:p>
    <w:p w14:paraId="0CD641CC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2A2C6530" w14:textId="5224FCBD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00B413" wp14:editId="4F364F34">
            <wp:extent cx="5486400" cy="5486400"/>
            <wp:effectExtent l="0" t="0" r="0" b="0"/>
            <wp:docPr id="1712314106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4106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BC3D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66128703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772A4D19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2B099518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794C4D87" w14:textId="77777777" w:rsidR="00B65740" w:rsidRDefault="00B65740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66BDE876" w14:textId="77777777" w:rsidR="00B65740" w:rsidRDefault="00B65740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68D3CF06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7DA71EBC" w14:textId="0E81D4D9" w:rsidR="00B65740" w:rsidRPr="00B65740" w:rsidRDefault="00B65740" w:rsidP="00B65740">
      <w:pPr>
        <w:pStyle w:val="TOC1"/>
      </w:pPr>
      <w:r w:rsidRPr="00B65740">
        <w:lastRenderedPageBreak/>
        <w:t>TABLE OF CONTENTS</w:t>
      </w:r>
    </w:p>
    <w:p w14:paraId="23D9BF8E" w14:textId="5598D888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r w:rsidRPr="00B65740">
        <w:fldChar w:fldCharType="begin"/>
      </w:r>
      <w:r w:rsidRPr="00B65740">
        <w:instrText xml:space="preserve"> TOC \o "1-3" \h \z \u </w:instrText>
      </w:r>
      <w:r w:rsidRPr="00B65740">
        <w:fldChar w:fldCharType="separate"/>
      </w:r>
      <w:hyperlink w:anchor="_Toc204963622" w:history="1">
        <w:r w:rsidRPr="00B65740">
          <w:rPr>
            <w:rStyle w:val="Hyperlink"/>
            <w:noProof/>
          </w:rPr>
          <w:t>Proposed IT systems to be use by FYM Compliance Limited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_Toc204963622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3</w:t>
        </w:r>
        <w:r w:rsidRPr="00B65740">
          <w:rPr>
            <w:noProof/>
            <w:webHidden/>
          </w:rPr>
          <w:fldChar w:fldCharType="end"/>
        </w:r>
      </w:hyperlink>
    </w:p>
    <w:p w14:paraId="73967C2E" w14:textId="07A11DB5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3" w:history="1">
        <w:r w:rsidRPr="00B65740">
          <w:rPr>
            <w:rStyle w:val="Hyperlink"/>
            <w:rFonts w:eastAsia="Times New Roman"/>
            <w:noProof/>
            <w:lang w:eastAsia="en-GB"/>
          </w:rPr>
          <w:t>1. E-Money Issuance &amp; Wallet Management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_Toc204963623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5</w:t>
        </w:r>
        <w:r w:rsidRPr="00B65740">
          <w:rPr>
            <w:noProof/>
            <w:webHidden/>
          </w:rPr>
          <w:fldChar w:fldCharType="end"/>
        </w:r>
      </w:hyperlink>
    </w:p>
    <w:p w14:paraId="6F26E97E" w14:textId="73A5C22A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4" w:history="1">
        <w:r w:rsidRPr="00B65740">
          <w:rPr>
            <w:rStyle w:val="Hyperlink"/>
            <w:rFonts w:eastAsia="Times New Roman"/>
            <w:noProof/>
            <w:lang w:eastAsia="en-GB"/>
          </w:rPr>
          <w:t>2. Customer Onboarding &amp; KYC/AML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_Toc204963624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5</w:t>
        </w:r>
        <w:r w:rsidRPr="00B65740">
          <w:rPr>
            <w:noProof/>
            <w:webHidden/>
          </w:rPr>
          <w:fldChar w:fldCharType="end"/>
        </w:r>
      </w:hyperlink>
    </w:p>
    <w:p w14:paraId="42D87F7C" w14:textId="38B37C46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5" w:history="1">
        <w:r w:rsidRPr="00B65740">
          <w:rPr>
            <w:rStyle w:val="Hyperlink"/>
            <w:rFonts w:eastAsia="Times New Roman"/>
            <w:noProof/>
            <w:lang w:eastAsia="en-GB"/>
          </w:rPr>
          <w:t>3. Transaction Processing &amp; Fraud Management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_Toc204963625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5</w:t>
        </w:r>
        <w:r w:rsidRPr="00B65740">
          <w:rPr>
            <w:noProof/>
            <w:webHidden/>
          </w:rPr>
          <w:fldChar w:fldCharType="end"/>
        </w:r>
      </w:hyperlink>
    </w:p>
    <w:p w14:paraId="069F8381" w14:textId="74674613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6" w:history="1">
        <w:r w:rsidRPr="00B65740">
          <w:rPr>
            <w:rStyle w:val="Hyperlink"/>
            <w:rFonts w:eastAsia="Times New Roman"/>
            <w:noProof/>
            <w:lang w:eastAsia="en-GB"/>
          </w:rPr>
          <w:t>4. Regulatory Reporting &amp; Compliance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_Toc204963626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6</w:t>
        </w:r>
        <w:r w:rsidRPr="00B65740">
          <w:rPr>
            <w:noProof/>
            <w:webHidden/>
          </w:rPr>
          <w:fldChar w:fldCharType="end"/>
        </w:r>
      </w:hyperlink>
    </w:p>
    <w:p w14:paraId="30849BF8" w14:textId="237FBA04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7" w:history="1">
        <w:r w:rsidRPr="00B65740">
          <w:rPr>
            <w:rStyle w:val="Hyperlink"/>
            <w:rFonts w:eastAsia="Times New Roman"/>
            <w:noProof/>
            <w:lang w:eastAsia="en-GB"/>
          </w:rPr>
          <w:t>5. API &amp; Integration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_Toc204963627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6</w:t>
        </w:r>
        <w:r w:rsidRPr="00B65740">
          <w:rPr>
            <w:noProof/>
            <w:webHidden/>
          </w:rPr>
          <w:fldChar w:fldCharType="end"/>
        </w:r>
      </w:hyperlink>
    </w:p>
    <w:p w14:paraId="6A604418" w14:textId="5AA8B977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8" w:history="1">
        <w:r w:rsidRPr="00B65740">
          <w:rPr>
            <w:rStyle w:val="Hyperlink"/>
            <w:rFonts w:eastAsia="Times New Roman"/>
            <w:noProof/>
            <w:lang w:eastAsia="en-GB"/>
          </w:rPr>
          <w:t>6. Administration &amp; Customer Portal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_Toc204963628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6</w:t>
        </w:r>
        <w:r w:rsidRPr="00B65740">
          <w:rPr>
            <w:noProof/>
            <w:webHidden/>
          </w:rPr>
          <w:fldChar w:fldCharType="end"/>
        </w:r>
      </w:hyperlink>
    </w:p>
    <w:p w14:paraId="0A21461B" w14:textId="4DCC63B4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29" w:history="1">
        <w:r w:rsidRPr="00B65740">
          <w:rPr>
            <w:rStyle w:val="Hyperlink"/>
            <w:rFonts w:eastAsia="Times New Roman"/>
            <w:noProof/>
            <w:lang w:eastAsia="en-GB"/>
          </w:rPr>
          <w:t>7. Security &amp; Scalability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_Toc204963629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7</w:t>
        </w:r>
        <w:r w:rsidRPr="00B65740">
          <w:rPr>
            <w:noProof/>
            <w:webHidden/>
          </w:rPr>
          <w:fldChar w:fldCharType="end"/>
        </w:r>
      </w:hyperlink>
    </w:p>
    <w:p w14:paraId="398B372D" w14:textId="3B97F247" w:rsidR="00B65740" w:rsidRPr="00B65740" w:rsidRDefault="00B65740" w:rsidP="00B65740">
      <w:pPr>
        <w:pStyle w:val="TOC1"/>
        <w:rPr>
          <w:rFonts w:eastAsiaTheme="minorEastAsia"/>
          <w:noProof/>
          <w:lang w:eastAsia="en-GB"/>
        </w:rPr>
      </w:pPr>
      <w:hyperlink w:anchor="_Toc204963630" w:history="1">
        <w:r w:rsidRPr="00B65740">
          <w:rPr>
            <w:rStyle w:val="Hyperlink"/>
            <w:rFonts w:eastAsia="Times New Roman"/>
            <w:noProof/>
            <w:lang w:eastAsia="en-GB"/>
          </w:rPr>
          <w:t>8. Reporting &amp; Analytics</w:t>
        </w:r>
        <w:r w:rsidRPr="00B65740">
          <w:rPr>
            <w:noProof/>
            <w:webHidden/>
          </w:rPr>
          <w:tab/>
        </w:r>
        <w:r w:rsidRPr="00B65740">
          <w:rPr>
            <w:noProof/>
            <w:webHidden/>
          </w:rPr>
          <w:fldChar w:fldCharType="begin"/>
        </w:r>
        <w:r w:rsidRPr="00B65740">
          <w:rPr>
            <w:noProof/>
            <w:webHidden/>
          </w:rPr>
          <w:instrText xml:space="preserve"> PAGEREF _Toc204963630 \h </w:instrText>
        </w:r>
        <w:r w:rsidRPr="00B65740">
          <w:rPr>
            <w:noProof/>
            <w:webHidden/>
          </w:rPr>
        </w:r>
        <w:r w:rsidRPr="00B65740">
          <w:rPr>
            <w:noProof/>
            <w:webHidden/>
          </w:rPr>
          <w:fldChar w:fldCharType="separate"/>
        </w:r>
        <w:r w:rsidR="00676AC3">
          <w:rPr>
            <w:noProof/>
            <w:webHidden/>
          </w:rPr>
          <w:t>7</w:t>
        </w:r>
        <w:r w:rsidRPr="00B65740">
          <w:rPr>
            <w:noProof/>
            <w:webHidden/>
          </w:rPr>
          <w:fldChar w:fldCharType="end"/>
        </w:r>
      </w:hyperlink>
    </w:p>
    <w:p w14:paraId="76839EA4" w14:textId="2CD08A1F" w:rsidR="00B540EF" w:rsidRPr="00B65740" w:rsidRDefault="00B65740" w:rsidP="00B65740">
      <w:pPr>
        <w:spacing w:line="480" w:lineRule="auto"/>
        <w:jc w:val="center"/>
        <w:rPr>
          <w:rFonts w:ascii="Open Sans" w:hAnsi="Open Sans" w:cs="Open Sans"/>
          <w:b/>
          <w:bCs/>
          <w:sz w:val="24"/>
          <w:szCs w:val="24"/>
        </w:rPr>
      </w:pPr>
      <w:r w:rsidRPr="00B65740">
        <w:rPr>
          <w:rFonts w:ascii="Open Sans" w:hAnsi="Open Sans" w:cs="Open Sans"/>
          <w:b/>
          <w:bCs/>
          <w:sz w:val="24"/>
          <w:szCs w:val="24"/>
        </w:rPr>
        <w:fldChar w:fldCharType="end"/>
      </w:r>
    </w:p>
    <w:p w14:paraId="23C06083" w14:textId="77777777" w:rsidR="00B540EF" w:rsidRPr="00B65740" w:rsidRDefault="00B540EF" w:rsidP="00B65740">
      <w:pPr>
        <w:spacing w:line="480" w:lineRule="auto"/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7F31927C" w14:textId="77777777" w:rsidR="00B540EF" w:rsidRPr="00B65740" w:rsidRDefault="00B540EF" w:rsidP="00B65740">
      <w:pPr>
        <w:spacing w:line="480" w:lineRule="auto"/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0B35027C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081E36A8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0E54776E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2D6B4D0B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698065A1" w14:textId="77777777" w:rsidR="00B540EF" w:rsidRDefault="00B540EF" w:rsidP="005C459E">
      <w:pPr>
        <w:jc w:val="center"/>
        <w:rPr>
          <w:rFonts w:ascii="Open Sans" w:hAnsi="Open Sans" w:cs="Open Sans"/>
          <w:b/>
          <w:bCs/>
          <w:sz w:val="24"/>
          <w:szCs w:val="24"/>
        </w:rPr>
      </w:pPr>
    </w:p>
    <w:p w14:paraId="055C5ABD" w14:textId="77777777" w:rsidR="00B540EF" w:rsidRDefault="00B540EF" w:rsidP="00B65740">
      <w:pPr>
        <w:rPr>
          <w:rFonts w:ascii="Open Sans" w:hAnsi="Open Sans" w:cs="Open Sans"/>
          <w:b/>
          <w:bCs/>
          <w:sz w:val="24"/>
          <w:szCs w:val="24"/>
        </w:rPr>
      </w:pPr>
    </w:p>
    <w:p w14:paraId="2EA101B5" w14:textId="35A49106" w:rsidR="00E8337F" w:rsidRPr="00676AC3" w:rsidRDefault="00E8337F" w:rsidP="00B540EF">
      <w:pPr>
        <w:pStyle w:val="Heading1"/>
        <w:rPr>
          <w:rFonts w:ascii="Open Sans" w:hAnsi="Open Sans" w:cs="Open Sans"/>
          <w:b/>
          <w:bCs/>
          <w:sz w:val="24"/>
          <w:szCs w:val="24"/>
        </w:rPr>
      </w:pPr>
      <w:bookmarkStart w:id="0" w:name="_Toc204963622"/>
      <w:r w:rsidRPr="00676AC3">
        <w:rPr>
          <w:rFonts w:ascii="Open Sans" w:hAnsi="Open Sans" w:cs="Open Sans"/>
          <w:b/>
          <w:bCs/>
          <w:sz w:val="24"/>
          <w:szCs w:val="24"/>
        </w:rPr>
        <w:lastRenderedPageBreak/>
        <w:t>Proposed IT systems to be use by FYM Compliance Limited</w:t>
      </w:r>
      <w:bookmarkEnd w:id="0"/>
    </w:p>
    <w:p w14:paraId="51EE4345" w14:textId="77777777" w:rsidR="00B540EF" w:rsidRPr="00B540EF" w:rsidRDefault="00B540EF" w:rsidP="00B540EF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FYM Compliance Limited recognises the central importance of robust, scalable, and secure IT infrastructure to underpin its operations as a Small Electronic Money Institution (SEMI). To ensure both operational readiness at launch and long-term sustainability, FYM has adopted a phased IT strategy as follows:</w:t>
      </w:r>
    </w:p>
    <w:p w14:paraId="3C979338" w14:textId="55C988C6" w:rsidR="00B540EF" w:rsidRPr="00B540EF" w:rsidRDefault="00B540EF" w:rsidP="00B540EF">
      <w:pPr>
        <w:jc w:val="both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Interim Solution (SaaS-Based Platform)</w:t>
      </w:r>
    </w:p>
    <w:p w14:paraId="1DF7AD6D" w14:textId="77777777" w:rsidR="00B540EF" w:rsidRPr="00B540EF" w:rsidRDefault="00B540EF" w:rsidP="00B540EF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For the initial go-live phase post-registration, FYM will leverage a third-party Software-as-a-Service (SaaS) platform to meet immediate operational and compliance requirements. This interim solution includes:</w:t>
      </w:r>
    </w:p>
    <w:p w14:paraId="41C4FF85" w14:textId="77777777" w:rsidR="00B540EF" w:rsidRPr="00B540EF" w:rsidRDefault="00B540EF" w:rsidP="00B540EF">
      <w:pPr>
        <w:numPr>
          <w:ilvl w:val="0"/>
          <w:numId w:val="9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Core functionality for customer onboarding, e-money issuance, transaction monitoring, ledgering, and reporting.</w:t>
      </w:r>
    </w:p>
    <w:p w14:paraId="3D8B71C0" w14:textId="77777777" w:rsidR="00B540EF" w:rsidRPr="00B540EF" w:rsidRDefault="00B540EF" w:rsidP="00B540EF">
      <w:pPr>
        <w:numPr>
          <w:ilvl w:val="0"/>
          <w:numId w:val="9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Secure hosting in fully compliant, UK-based data centres with encryption and access control protocols.</w:t>
      </w:r>
    </w:p>
    <w:p w14:paraId="2997A3D3" w14:textId="77777777" w:rsidR="00B540EF" w:rsidRPr="00B540EF" w:rsidRDefault="00B540EF" w:rsidP="00B540EF">
      <w:pPr>
        <w:numPr>
          <w:ilvl w:val="0"/>
          <w:numId w:val="9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API connectivity for integration with banking partners (e.g., safeguarding account providers), payment rails, and card issuers.</w:t>
      </w:r>
    </w:p>
    <w:p w14:paraId="39749DA9" w14:textId="77777777" w:rsidR="00B540EF" w:rsidRPr="00B540EF" w:rsidRDefault="00B540EF" w:rsidP="00B540EF">
      <w:pPr>
        <w:numPr>
          <w:ilvl w:val="0"/>
          <w:numId w:val="9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Audit logs and record retention aligned with FCA regulatory expectations.</w:t>
      </w:r>
    </w:p>
    <w:p w14:paraId="49D12539" w14:textId="77777777" w:rsidR="00B540EF" w:rsidRPr="00B540EF" w:rsidRDefault="00B540EF" w:rsidP="00B540EF">
      <w:pPr>
        <w:numPr>
          <w:ilvl w:val="0"/>
          <w:numId w:val="9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Customisable compliance dashboards for AML/CFT risk monitoring, transaction alerts, and KYC oversight.</w:t>
      </w:r>
    </w:p>
    <w:p w14:paraId="778DEAD3" w14:textId="377B02DA" w:rsidR="00B540EF" w:rsidRPr="00B540EF" w:rsidRDefault="00B540EF" w:rsidP="00B540EF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The SaaS provider is a well-established FCA-compliant vendor, with whom FYM </w:t>
      </w:r>
      <w: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will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 execute a service-level agreement (SLA) to ensure uninterrupted availability, data protection, and access control until the internal system is ready for deployment.</w:t>
      </w:r>
    </w:p>
    <w:p w14:paraId="1A7688CE" w14:textId="64AF518B" w:rsidR="00B540EF" w:rsidRPr="00B540EF" w:rsidRDefault="00B540EF" w:rsidP="00B540EF">
      <w:pPr>
        <w:jc w:val="both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Proprietary System Development (In-House Build via Base44)</w:t>
      </w:r>
    </w:p>
    <w:p w14:paraId="506B0CE5" w14:textId="05292BA2" w:rsidR="00B540EF" w:rsidRPr="00B540EF" w:rsidRDefault="00B540EF" w:rsidP="00B540EF">
      <w:p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Simultaneously, FYM is developing a proprietary IT system from the ground up (see: </w:t>
      </w:r>
      <w:hyperlink r:id="rId6" w:tgtFrame="_new" w:history="1">
        <w:r w:rsidRPr="00B540EF">
          <w:rPr>
            <w:rStyle w:val="Hyperlink"/>
            <w:rFonts w:ascii="Open Sans" w:eastAsia="Times New Roman" w:hAnsi="Open Sans" w:cs="Open Sans"/>
            <w:kern w:val="0"/>
            <w:sz w:val="24"/>
            <w:szCs w:val="24"/>
            <w:lang w:eastAsia="en-GB"/>
            <w14:ligatures w14:val="none"/>
          </w:rPr>
          <w:t>https://app.base44.com/apps/68820053dd81565db8c81e32/editor/preview/Dashboard</w:t>
        </w:r>
      </w:hyperlink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). This in-house platform, branded internally as </w:t>
      </w:r>
      <w:r w:rsidRPr="00B540E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LaunchPad360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, will fully replace the interim system upon completion and deliver the following core capabilities:</w:t>
      </w:r>
    </w:p>
    <w:p w14:paraId="35DA80AA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End-to-End Payment &amp; E-Money Management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Including wallet management, FX conversion, card issuing integration, transaction execution, and safeguarding logic embedded into the funds flow.</w:t>
      </w:r>
    </w:p>
    <w:p w14:paraId="1A86BA93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lastRenderedPageBreak/>
        <w:t>Real-Time Regulatory Reporting Engine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Automated generation of monthly FCA reports (e.g. REP017, REP018), transaction volume summaries, outstanding e-money balances, unrelated payment tracking, and safeguarding reconciliations.</w:t>
      </w:r>
    </w:p>
    <w:p w14:paraId="3DB05173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User Access Controls and Audit Trails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Built-in role-based access system with traceable audit logs to ensure accountability and compliance with SYSC and PSD2 principles.</w:t>
      </w:r>
    </w:p>
    <w:p w14:paraId="30317D86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Customer Dashboard and Self-Service Portal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A secure and intuitive front-end for customer onboarding, identity verification, balance review, and transaction history.</w:t>
      </w:r>
    </w:p>
    <w:p w14:paraId="75A941DD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AML/CFT Risk Management Layer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Configurable rules engine for transaction monitoring, PEP/sanctions screening, and SAR escalation with integration to external compliance tools where needed.</w:t>
      </w:r>
    </w:p>
    <w:p w14:paraId="7950A05C" w14:textId="77777777" w:rsidR="00B540EF" w:rsidRPr="00B540EF" w:rsidRDefault="00B540EF" w:rsidP="00B540EF">
      <w:pPr>
        <w:numPr>
          <w:ilvl w:val="0"/>
          <w:numId w:val="10"/>
        </w:numPr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Business Continuity and Scalability</w:t>
      </w: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br/>
        <w:t>Designed with modular architecture and hosted on UK/EU-compliant cloud infrastructure, with automated failover, backup recovery, and redundancy protocols built in.</w:t>
      </w:r>
    </w:p>
    <w:p w14:paraId="2524EAFA" w14:textId="1BB8C086" w:rsidR="00B540EF" w:rsidRPr="00B540EF" w:rsidRDefault="00B540EF" w:rsidP="00B540EF">
      <w:pPr>
        <w:jc w:val="both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Transition Plan</w:t>
      </w:r>
    </w:p>
    <w:p w14:paraId="14572E8C" w14:textId="77777777" w:rsidR="00B540EF" w:rsidRPr="00B540EF" w:rsidRDefault="00B540EF" w:rsidP="00B540EF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FYM anticipates a full transition to the proprietary system within the first 12–15 months of operation. The transition will be managed in line with best practices in change management, including:</w:t>
      </w:r>
    </w:p>
    <w:p w14:paraId="6FA16D66" w14:textId="77777777" w:rsidR="00B540EF" w:rsidRPr="00B540EF" w:rsidRDefault="00B540EF" w:rsidP="00B540EF">
      <w:pPr>
        <w:numPr>
          <w:ilvl w:val="0"/>
          <w:numId w:val="11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Parallel testing between SaaS and in-house platforms</w:t>
      </w:r>
    </w:p>
    <w:p w14:paraId="1EEED945" w14:textId="77777777" w:rsidR="00B540EF" w:rsidRPr="00B540EF" w:rsidRDefault="00B540EF" w:rsidP="00B540EF">
      <w:pPr>
        <w:numPr>
          <w:ilvl w:val="0"/>
          <w:numId w:val="11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FCA notification prior to full system switch-over</w:t>
      </w:r>
    </w:p>
    <w:p w14:paraId="4C11DF3E" w14:textId="77777777" w:rsidR="00B540EF" w:rsidRPr="00B540EF" w:rsidRDefault="00B540EF" w:rsidP="00B540EF">
      <w:pPr>
        <w:numPr>
          <w:ilvl w:val="0"/>
          <w:numId w:val="11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Third-party penetration testing and IT audit pre-launch</w:t>
      </w:r>
    </w:p>
    <w:p w14:paraId="64AE29AF" w14:textId="77777777" w:rsidR="00B540EF" w:rsidRPr="00B540EF" w:rsidRDefault="00B540EF" w:rsidP="00B540EF">
      <w:pPr>
        <w:numPr>
          <w:ilvl w:val="0"/>
          <w:numId w:val="11"/>
        </w:num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Staff training and user acceptance testing</w:t>
      </w:r>
    </w:p>
    <w:p w14:paraId="43EABC26" w14:textId="70B5E571" w:rsidR="00B540EF" w:rsidRPr="005C459E" w:rsidRDefault="00B540E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B540EF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This two-phase IT strategy ensures immediate operational resilience while establishing a future-proof, compliant, and scalable system that supports FYM’s long-term vision in the e-money and payments space. The FCA can be assured that FYM’s approach meets both current operational standards and future regulatory expectations, with robust controls, clear governance, and a detailed roadmap already in execution.</w:t>
      </w:r>
    </w:p>
    <w:p w14:paraId="65196ECC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1" w:name="_Toc204963623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lastRenderedPageBreak/>
        <w:t>1. E-Money Issuance &amp; Wallet Management</w:t>
      </w:r>
      <w:bookmarkEnd w:id="1"/>
    </w:p>
    <w:p w14:paraId="1BBC7043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FYM’s core platform for issuing and managing electronic money is Macrobank by Advapay, a cloud-native, microservices-based solution:</w:t>
      </w:r>
    </w:p>
    <w:p w14:paraId="272B8040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Multi-Currency e-Wallets: Customers can hold balances in GBP, EUR and USD simultaneously, with real-time currency displays and automatic conversion at locked-in rates (</w:t>
      </w:r>
      <w:hyperlink r:id="rId7" w:tooltip="Why choose Macrobank Core Banking software by Advapay?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, </w:t>
      </w:r>
      <w:hyperlink r:id="rId8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4AE3DCC8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Virtual IBAN Allocation &amp; Reconciliation: The system dynamically provisions IBANs per customer and transaction corridor; built-in reconciliation tools match incoming SEPA/FPS/SWIFT settlements against ledger entries (</w:t>
      </w:r>
      <w:hyperlink r:id="rId9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299D414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Instant Top-Up &amp; Payout: Native gateways to UK Faster Payments, SEPA Instant Credit Transfer and SWIFT enable sub-minute top-ups and cross-border payouts, managed via Macrobank’s payment engine APIs (</w:t>
      </w:r>
      <w:hyperlink r:id="rId10" w:tooltip="Why choose Macrobank Core Banking software by Advapay?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269BA91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2" w:name="_Toc204963624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2. Customer Onboarding &amp; KYC/AML</w:t>
      </w:r>
      <w:bookmarkEnd w:id="2"/>
    </w:p>
    <w:p w14:paraId="2D27021A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 frictionless, risk-based onboarding journey powered by:</w:t>
      </w:r>
    </w:p>
    <w:p w14:paraId="4C88667B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Automated ID Verification: Integrated document-capture (passport, driving licence) plus facial-biometric checks via Advapay’s AML/KYC module, reducing manual effort and improving compliance accuracy (</w:t>
      </w:r>
      <w:hyperlink r:id="rId11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7D04EA8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Risk-Based Segmentation &amp; EDD: Customers are auto-scored into low/medium/high risk bands; high-risk cases trigger two-step workflows for source-of-fund collection and senior-manager approval (</w:t>
      </w:r>
      <w:hyperlink r:id="rId12" w:tooltip="Why choose Macrobank Core Banking software by Advapay?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7D6651ED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Sanctions &amp; PEP Screening: Daily synchronization with OFSI, UN and commercial PEP lists; ongoing transaction-monitoring alerts feed into the case-management system for SAR escalation (</w:t>
      </w:r>
      <w:hyperlink r:id="rId13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961FB90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3" w:name="_Toc204963625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3. Transaction Processing &amp; Fraud Management</w:t>
      </w:r>
      <w:bookmarkEnd w:id="3"/>
    </w:p>
    <w:p w14:paraId="1EFCB6EE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Robust, real-time control of all payment flows:</w:t>
      </w:r>
    </w:p>
    <w:p w14:paraId="6002865A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Authorisation &amp; Settlement: Every transaction is authorised via the Macrobank engine, with immediate settlement instructions sent to relevant rails (e.g. FPS, SEPA, SWIFT) and status feedback loops for reconciliation (</w:t>
      </w:r>
      <w:hyperlink r:id="rId14" w:tooltip="Advapay Reviews, Ratings &amp; Features 2025 | Gartner Peer Insights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gartner.com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BE905E2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Rules-Based Fraud Engine: Customisable thresholds (velocity, geo-mismatch, pattern anomalies) run in-line via Macrobank’s inbuilt fraud-detection module; flagged items enter a dual-approval dispute workflow (</w:t>
      </w:r>
      <w:hyperlink r:id="rId15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15938B1E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lastRenderedPageBreak/>
        <w:t>Chargeback &amp; Dispute Workflows: Automated ticket creation for customer disputes, integrated with telephony and email support, ensuring end-to-end SLA tracking and regulatory compliance (</w:t>
      </w:r>
      <w:hyperlink r:id="rId16" w:tooltip="Macrobank Software Reviews, Demo &amp; Pricing - 2025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softwareadvice.com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84CB379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4" w:name="_Toc204963626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4. Regulatory Reporting &amp; Compliance</w:t>
      </w:r>
      <w:bookmarkEnd w:id="4"/>
    </w:p>
    <w:p w14:paraId="118DFDEE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Automated, auditable outputs tailored to UK requirements:</w:t>
      </w:r>
    </w:p>
    <w:p w14:paraId="0F534631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FCA Returns &amp; CASS Reports: Pre-configured report templates generate EMR and QMR returns via Macrobank’s reporting engine; CASS reconciliation files exported monthly to meet safeguarding rules (</w:t>
      </w:r>
      <w:hyperlink r:id="rId17" w:tooltip="[PDF] Payment Services and Electronic Money – Our Approach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service.betterregulation.com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8B87828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Immutable Audit Trail: All customer and transaction data writes are recorded in a write-once ledger, stored in WORM-capable Azure Blob storage for five years per SUP 15 requirements (</w:t>
      </w:r>
      <w:hyperlink r:id="rId18" w:tooltip="[PDF] Payment Services and Electronic Money – Our Approach | FCA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fca.org.uk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7E64C68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Role-Based Access &amp; Dual Control: High-risk actions (e.g. manual top-up overrides, refunds &gt;£5,000) demand two distinct approver log-ins enforced through Macrobank’s RBAC engine (</w:t>
      </w:r>
      <w:hyperlink r:id="rId19" w:tooltip="Macrobank | Software Reviews &amp; Alternatives - Crozdesk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crozdesk.com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490DFC42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5" w:name="_Toc204963627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5. API &amp; Integration</w:t>
      </w:r>
      <w:bookmarkEnd w:id="5"/>
    </w:p>
    <w:p w14:paraId="38935EF2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Open, secure connectivity for ecosystems and partnerships:</w:t>
      </w:r>
    </w:p>
    <w:p w14:paraId="08AE4422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RESTful Core APIs: Expose wallet management, payment initiation, customer profiles and compliance endpoints, all authenticated via OAuth 2.0 and </w:t>
      </w:r>
      <w:proofErr w:type="spellStart"/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mTLS</w:t>
      </w:r>
      <w:proofErr w:type="spellEnd"/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 (</w:t>
      </w:r>
      <w:hyperlink r:id="rId20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0787424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Event-Driven Webhooks: Real-time callbacks for transaction statuses, KYC completions and risk alerts, enabling synchronous integrations with CRM, ERP and ticketing systems (</w:t>
      </w:r>
      <w:hyperlink r:id="rId21" w:tooltip="Macrobank | Software Reviews &amp; Alternatives - Crozdesk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crozdesk.com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480C4DDD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Pre-Built Connectors: Off-the-shelf adapters for QuickBooks, Xero, Salesforce and Zendesk, reducing integration timelines by up to 50% (</w:t>
      </w:r>
      <w:hyperlink r:id="rId22" w:tooltip="Advapay Joins the NayaOne Tech Marketplace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nayaone.com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1B13E763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6" w:name="_Toc204963628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6. Administration &amp; Customer Portal</w:t>
      </w:r>
      <w:bookmarkEnd w:id="6"/>
    </w:p>
    <w:p w14:paraId="65A07B1B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 unified operational cockpit and self-service interface:</w:t>
      </w:r>
    </w:p>
    <w:p w14:paraId="589FB936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Back-Office Dashboard: React-based console offers role-specific views for operations, risk/compliance and finance teams, with real-time KPIs and drill-down capabilities (</w:t>
      </w:r>
      <w:hyperlink r:id="rId23" w:tooltip="[PDF] Macrobank integrates banking and payment functionality for ...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tradewithestonia.com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29136DF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Branded Web &amp; Mobile Portal: White-label SPA (Angular for web; Swift/Kotlin for iOS/Android) delivers multi-channel access to balances, history, statements and support chat (</w:t>
      </w:r>
      <w:hyperlink r:id="rId24" w:tooltip="[PDF] Macrobank integrates banking and payment functionality for ...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tradewithestonia.com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17F2ABDB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lastRenderedPageBreak/>
        <w:t>Configurable Roles &amp; Audit Logs: Administrators define granular permissions (e.g. read-only vs. transactional rights) and track all configuration changes via immutable logs (</w:t>
      </w:r>
      <w:hyperlink r:id="rId25" w:tooltip="[PDF] Macrobank integrates banking and payment functionality for ...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tradewithestonia.com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3B7B5CB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7" w:name="_Toc204963629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7. Security &amp; Scalability</w:t>
      </w:r>
      <w:bookmarkEnd w:id="7"/>
    </w:p>
    <w:p w14:paraId="49C6174B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Enterprise-grade resilience and protections:</w:t>
      </w:r>
    </w:p>
    <w:p w14:paraId="4F787D53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ISO 27001 Infrastructure: Hosted on AWS (UK &amp; EU regions) with virtual-private cloud segmentation, end-to-end TLS and enforced 2FA for all staff (</w:t>
      </w:r>
      <w:hyperlink r:id="rId26" w:tooltip="Changing of the (safe)guard: the FCA's proposals for payments and ...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fieldfisher.com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C6CB444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Horizontal Scaling &amp; SLA: Auto-scaling Kubernetes clusters ensure ≥ 99.9% uptime under load; service-level uptime commitments in FTAs with clients (</w:t>
      </w:r>
      <w:hyperlink r:id="rId27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514C69BF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Disaster Recovery &amp; BCP: Geo-replicated backups with RTO = 2 hrs, RPO = 15 mins; bi-annual failover drills and annual end-to-end BCP simulation (</w:t>
      </w:r>
      <w:hyperlink r:id="rId28" w:tooltip="Advapay Reviews, Ratings &amp; Features 2025 | Gartner Peer Insights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gartner.com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7B81A471" w14:textId="77777777" w:rsidR="00E8337F" w:rsidRPr="00676AC3" w:rsidRDefault="00E8337F" w:rsidP="00B540EF">
      <w:pPr>
        <w:pStyle w:val="Heading1"/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</w:pPr>
      <w:bookmarkStart w:id="8" w:name="_Toc204963630"/>
      <w:r w:rsidRPr="00676AC3">
        <w:rPr>
          <w:rFonts w:ascii="Open Sans" w:eastAsia="Times New Roman" w:hAnsi="Open Sans" w:cs="Open Sans"/>
          <w:b/>
          <w:bCs/>
          <w:sz w:val="24"/>
          <w:szCs w:val="24"/>
          <w:lang w:eastAsia="en-GB"/>
        </w:rPr>
        <w:t>8. Reporting &amp; Analytics</w:t>
      </w:r>
      <w:bookmarkEnd w:id="8"/>
    </w:p>
    <w:p w14:paraId="378E7E02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Comprehensive visibility across financial and risk dimensions:</w:t>
      </w:r>
    </w:p>
    <w:p w14:paraId="7084EF69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Custom Dashboards: User-configurable charts and tables for liquidity, transaction volumes, fee income and fraud KPIs, powered by Macrobank’s built-in BI engine (</w:t>
      </w:r>
      <w:hyperlink r:id="rId29" w:tooltip="Macrobank Software Reviews, Demo &amp; Pricing - 2025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softwareadvice.com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36E1836F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Scheduled Reports: Automated dispatch of daily, weekly and monthly reports to internal stakeholders and regulators (e.g. FCA EMR, SAR summaries) via secure SFTP (</w:t>
      </w:r>
      <w:hyperlink r:id="rId30" w:tooltip="[PDF] Payment Services and Electronic Money – Our Approach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service.betterregulation.com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47C0F92" w14:textId="77777777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Ad-Hoc Exports: CSV/Excel data dumps for ad-hoc analysis by finance and compliance teams, secured with one-time download tokens and audit logging (</w:t>
      </w:r>
      <w:hyperlink r:id="rId31" w:tooltip="Digital Core Banking solution for fintechs (SaaS, BaaS, platform)" w:history="1">
        <w:r w:rsidRPr="005C459E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lang w:eastAsia="en-GB"/>
            <w14:ligatures w14:val="none"/>
          </w:rPr>
          <w:t>advapay.eu</w:t>
        </w:r>
      </w:hyperlink>
      <w:r w:rsidRPr="005C459E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66E0A24" w14:textId="12FADE0D" w:rsidR="00E8337F" w:rsidRPr="005C459E" w:rsidRDefault="00E8337F" w:rsidP="005C459E">
      <w:pPr>
        <w:jc w:val="both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726F6CBA" w14:textId="77777777" w:rsidR="00E8337F" w:rsidRPr="005C459E" w:rsidRDefault="00E8337F" w:rsidP="005C459E">
      <w:pPr>
        <w:jc w:val="both"/>
        <w:rPr>
          <w:rFonts w:ascii="Open Sans" w:hAnsi="Open Sans" w:cs="Open Sans"/>
          <w:sz w:val="24"/>
          <w:szCs w:val="24"/>
        </w:rPr>
      </w:pPr>
    </w:p>
    <w:sectPr w:rsidR="00E8337F" w:rsidRPr="005C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1894"/>
    <w:multiLevelType w:val="multilevel"/>
    <w:tmpl w:val="1D8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2962"/>
    <w:multiLevelType w:val="multilevel"/>
    <w:tmpl w:val="7D7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C84"/>
    <w:multiLevelType w:val="multilevel"/>
    <w:tmpl w:val="081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C61"/>
    <w:multiLevelType w:val="multilevel"/>
    <w:tmpl w:val="5C3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C167D"/>
    <w:multiLevelType w:val="multilevel"/>
    <w:tmpl w:val="FA1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741BD"/>
    <w:multiLevelType w:val="multilevel"/>
    <w:tmpl w:val="509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1422C"/>
    <w:multiLevelType w:val="multilevel"/>
    <w:tmpl w:val="AD8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29E8"/>
    <w:multiLevelType w:val="multilevel"/>
    <w:tmpl w:val="B74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97EC4"/>
    <w:multiLevelType w:val="multilevel"/>
    <w:tmpl w:val="F57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2E37"/>
    <w:multiLevelType w:val="multilevel"/>
    <w:tmpl w:val="3F8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B3A71"/>
    <w:multiLevelType w:val="multilevel"/>
    <w:tmpl w:val="6EB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93059">
    <w:abstractNumId w:val="4"/>
  </w:num>
  <w:num w:numId="2" w16cid:durableId="1133131798">
    <w:abstractNumId w:val="5"/>
  </w:num>
  <w:num w:numId="3" w16cid:durableId="144903407">
    <w:abstractNumId w:val="8"/>
  </w:num>
  <w:num w:numId="4" w16cid:durableId="976568500">
    <w:abstractNumId w:val="6"/>
  </w:num>
  <w:num w:numId="5" w16cid:durableId="1004209715">
    <w:abstractNumId w:val="7"/>
  </w:num>
  <w:num w:numId="6" w16cid:durableId="990906872">
    <w:abstractNumId w:val="2"/>
  </w:num>
  <w:num w:numId="7" w16cid:durableId="1404796882">
    <w:abstractNumId w:val="0"/>
  </w:num>
  <w:num w:numId="8" w16cid:durableId="2094205193">
    <w:abstractNumId w:val="10"/>
  </w:num>
  <w:num w:numId="9" w16cid:durableId="883297997">
    <w:abstractNumId w:val="3"/>
  </w:num>
  <w:num w:numId="10" w16cid:durableId="1254823116">
    <w:abstractNumId w:val="9"/>
  </w:num>
  <w:num w:numId="11" w16cid:durableId="15145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7F"/>
    <w:rsid w:val="0015526D"/>
    <w:rsid w:val="001E6F60"/>
    <w:rsid w:val="003D5CD0"/>
    <w:rsid w:val="00572695"/>
    <w:rsid w:val="005C459E"/>
    <w:rsid w:val="00676AC3"/>
    <w:rsid w:val="00687C39"/>
    <w:rsid w:val="009F4A8E"/>
    <w:rsid w:val="00B540EF"/>
    <w:rsid w:val="00B65740"/>
    <w:rsid w:val="00C85E3E"/>
    <w:rsid w:val="00CF71CD"/>
    <w:rsid w:val="00D904A2"/>
    <w:rsid w:val="00E8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5CEF"/>
  <w15:chartTrackingRefBased/>
  <w15:docId w15:val="{70105F50-FE4B-42BA-B6A3-A15208E0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65740"/>
    <w:pPr>
      <w:tabs>
        <w:tab w:val="right" w:leader="dot" w:pos="9016"/>
      </w:tabs>
      <w:spacing w:before="120" w:after="120" w:line="480" w:lineRule="auto"/>
    </w:pPr>
    <w:rPr>
      <w:rFonts w:ascii="Open Sans" w:hAnsi="Open Sans" w:cs="Open Sans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540EF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540EF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540EF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540EF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540EF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540EF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540EF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540EF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4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7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dvapay.eu/core-banking-software-solution/?utm_source=chatgpt.com" TargetMode="External"/><Relationship Id="rId18" Type="http://schemas.openxmlformats.org/officeDocument/2006/relationships/hyperlink" Target="https://www.fca.org.uk/publication/finalised-guidance/fca-approach-payment-services-electronic-money-2017.pdf?utm_source=chatgpt.com" TargetMode="External"/><Relationship Id="rId26" Type="http://schemas.openxmlformats.org/officeDocument/2006/relationships/hyperlink" Target="https://www.fieldfisher.com/en/insights/changing-of-the-safe-guard-the-fca-s-proposals-for-payments-and-e-money-firm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ozdesk.com/software/macrobank?utm_source=chatgpt.com" TargetMode="External"/><Relationship Id="rId7" Type="http://schemas.openxmlformats.org/officeDocument/2006/relationships/hyperlink" Target="https://advapay.eu/why-choose-macrobank-core-banking-system-by-advapay/?utm_source=chatgpt.com" TargetMode="External"/><Relationship Id="rId12" Type="http://schemas.openxmlformats.org/officeDocument/2006/relationships/hyperlink" Target="https://advapay.eu/why-choose-macrobank-core-banking-system-by-advapay/?utm_source=chatgpt.com" TargetMode="External"/><Relationship Id="rId17" Type="http://schemas.openxmlformats.org/officeDocument/2006/relationships/hyperlink" Target="https://service.betterregulation.com/sites/default/files/upload/2022-03/fca-approach-payment-services-electronic-money-2017.pdf?utm_source=chatgpt.com" TargetMode="External"/><Relationship Id="rId25" Type="http://schemas.openxmlformats.org/officeDocument/2006/relationships/hyperlink" Target="https://tradewithestonia.com/wp-content/uploads/2023/04/digital-core-banking-solution-advapay-presentation.pdf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oftwareadvice.com/banking-systems/macrobank-profile/?utm_source=chatgpt.com" TargetMode="External"/><Relationship Id="rId20" Type="http://schemas.openxmlformats.org/officeDocument/2006/relationships/hyperlink" Target="https://advapay.eu/core-banking-software-solution/?utm_source=chatgpt.com" TargetMode="External"/><Relationship Id="rId29" Type="http://schemas.openxmlformats.org/officeDocument/2006/relationships/hyperlink" Target="https://www.softwareadvice.com/banking-systems/macrobank-profil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.base44.com/apps/68820053dd81565db8c81e32/editor/preview/Dashboard" TargetMode="External"/><Relationship Id="rId11" Type="http://schemas.openxmlformats.org/officeDocument/2006/relationships/hyperlink" Target="https://advapay.eu/core-banking-software-solution/?utm_source=chatgpt.com" TargetMode="External"/><Relationship Id="rId24" Type="http://schemas.openxmlformats.org/officeDocument/2006/relationships/hyperlink" Target="https://tradewithestonia.com/wp-content/uploads/2023/04/digital-core-banking-solution-advapay-presentation.pdf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advapay.eu/core-banking-software-solution/?utm_source=chatgpt.com" TargetMode="External"/><Relationship Id="rId23" Type="http://schemas.openxmlformats.org/officeDocument/2006/relationships/hyperlink" Target="https://tradewithestonia.com/wp-content/uploads/2023/04/digital-core-banking-solution-advapay-presentation.pdf?utm_source=chatgpt.com" TargetMode="External"/><Relationship Id="rId28" Type="http://schemas.openxmlformats.org/officeDocument/2006/relationships/hyperlink" Target="https://www.gartner.com/reviews/market/core-banking-systems/vendor/advapay/product/advapay?utm_source=chatgpt.com" TargetMode="External"/><Relationship Id="rId10" Type="http://schemas.openxmlformats.org/officeDocument/2006/relationships/hyperlink" Target="https://advapay.eu/why-choose-macrobank-core-banking-system-by-advapay/?utm_source=chatgpt.com" TargetMode="External"/><Relationship Id="rId19" Type="http://schemas.openxmlformats.org/officeDocument/2006/relationships/hyperlink" Target="https://crozdesk.com/software/macrobank?utm_source=chatgpt.com" TargetMode="External"/><Relationship Id="rId31" Type="http://schemas.openxmlformats.org/officeDocument/2006/relationships/hyperlink" Target="https://advapay.eu/core-banking-software-soluti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apay.eu/core-banking-software-solution/?utm_source=chatgpt.com" TargetMode="External"/><Relationship Id="rId14" Type="http://schemas.openxmlformats.org/officeDocument/2006/relationships/hyperlink" Target="https://www.gartner.com/reviews/market/core-banking-systems/vendor/advapay/product/advapay?utm_source=chatgpt.com" TargetMode="External"/><Relationship Id="rId22" Type="http://schemas.openxmlformats.org/officeDocument/2006/relationships/hyperlink" Target="https://nayaone.com/press-ann/advapay-joins-the-nayaone-tech-marketplace/?utm_source=chatgpt.com" TargetMode="External"/><Relationship Id="rId27" Type="http://schemas.openxmlformats.org/officeDocument/2006/relationships/hyperlink" Target="https://advapay.eu/core-banking-software-solution/?utm_source=chatgpt.com" TargetMode="External"/><Relationship Id="rId30" Type="http://schemas.openxmlformats.org/officeDocument/2006/relationships/hyperlink" Target="https://service.betterregulation.com/sites/default/files/upload/2022-03/fca-approach-payment-services-electronic-money-2017.pdf?utm_source=chatgpt.com" TargetMode="External"/><Relationship Id="rId8" Type="http://schemas.openxmlformats.org/officeDocument/2006/relationships/hyperlink" Target="https://advapay.eu/core-banking-software-solu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2198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FManu (FYM)</dc:creator>
  <cp:keywords/>
  <dc:description/>
  <cp:lastModifiedBy>FManu (FYM)</cp:lastModifiedBy>
  <cp:revision>5</cp:revision>
  <cp:lastPrinted>2025-08-06T13:01:00Z</cp:lastPrinted>
  <dcterms:created xsi:type="dcterms:W3CDTF">2025-07-08T13:39:00Z</dcterms:created>
  <dcterms:modified xsi:type="dcterms:W3CDTF">2025-08-06T13:02:00Z</dcterms:modified>
</cp:coreProperties>
</file>