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D9B1" w14:textId="4A435C8A" w:rsidR="00602920" w:rsidRPr="00CE4808" w:rsidRDefault="00602920" w:rsidP="00602920">
      <w:pPr>
        <w:spacing w:before="100" w:beforeAutospacing="1" w:after="100" w:afterAutospacing="1" w:line="240" w:lineRule="auto"/>
        <w:rPr>
          <w:rFonts w:ascii="Open Sans" w:eastAsia="Times New Roman" w:hAnsi="Open Sans" w:cs="Open Sans"/>
          <w:kern w:val="0"/>
          <w:sz w:val="56"/>
          <w:szCs w:val="56"/>
          <w:lang w:eastAsia="en-GB"/>
          <w14:ligatures w14:val="none"/>
        </w:rPr>
      </w:pPr>
      <w:r w:rsidRPr="00CE4808">
        <w:rPr>
          <w:rFonts w:ascii="Open Sans" w:eastAsia="Times New Roman" w:hAnsi="Open Sans" w:cs="Open Sans"/>
          <w:b/>
          <w:bCs/>
          <w:kern w:val="0"/>
          <w:sz w:val="56"/>
          <w:szCs w:val="56"/>
          <w:lang w:eastAsia="en-GB"/>
          <w14:ligatures w14:val="none"/>
        </w:rPr>
        <w:t>Risk Management Procedures</w:t>
      </w:r>
      <w:r w:rsidRPr="00CE4808">
        <w:rPr>
          <w:rFonts w:ascii="Open Sans" w:eastAsia="Times New Roman" w:hAnsi="Open Sans" w:cs="Open Sans"/>
          <w:kern w:val="0"/>
          <w:sz w:val="56"/>
          <w:szCs w:val="56"/>
          <w:lang w:eastAsia="en-GB"/>
          <w14:ligatures w14:val="none"/>
        </w:rPr>
        <w:t xml:space="preserve"> </w:t>
      </w:r>
    </w:p>
    <w:p w14:paraId="1D8FD0C3" w14:textId="77777777" w:rsidR="002D1D84" w:rsidRPr="00176409" w:rsidRDefault="002D1D84" w:rsidP="00602920">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46B60B80" w14:textId="13F70B3B" w:rsidR="002D1D84" w:rsidRPr="00176409" w:rsidRDefault="002D1D84" w:rsidP="00602920">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76409">
        <w:rPr>
          <w:rFonts w:ascii="Open Sans" w:hAnsi="Open Sans" w:cs="Open Sans"/>
          <w:noProof/>
          <w:sz w:val="24"/>
          <w:szCs w:val="24"/>
        </w:rPr>
        <w:drawing>
          <wp:inline distT="0" distB="0" distL="0" distR="0" wp14:anchorId="0776953A" wp14:editId="5C1CD92C">
            <wp:extent cx="5486400" cy="5486400"/>
            <wp:effectExtent l="0" t="0" r="0" b="0"/>
            <wp:docPr id="1712314106"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14106" name="Picture 2" descr="A logo for a company&#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76D23F07" w14:textId="6F3FFAC1" w:rsidR="00602920" w:rsidRPr="00176409" w:rsidRDefault="00602920" w:rsidP="00602920">
      <w:pPr>
        <w:spacing w:after="0" w:line="240" w:lineRule="auto"/>
        <w:rPr>
          <w:rFonts w:ascii="Open Sans" w:eastAsia="Times New Roman" w:hAnsi="Open Sans" w:cs="Open Sans"/>
          <w:kern w:val="0"/>
          <w:sz w:val="24"/>
          <w:szCs w:val="24"/>
          <w:lang w:eastAsia="en-GB"/>
          <w14:ligatures w14:val="none"/>
        </w:rPr>
      </w:pPr>
    </w:p>
    <w:p w14:paraId="69632CD7" w14:textId="77777777" w:rsidR="002D1D84" w:rsidRPr="00176409" w:rsidRDefault="002D1D84" w:rsidP="00602920">
      <w:pPr>
        <w:spacing w:after="0" w:line="240" w:lineRule="auto"/>
        <w:rPr>
          <w:rFonts w:ascii="Open Sans" w:eastAsia="Times New Roman" w:hAnsi="Open Sans" w:cs="Open Sans"/>
          <w:kern w:val="0"/>
          <w:sz w:val="24"/>
          <w:szCs w:val="24"/>
          <w:lang w:eastAsia="en-GB"/>
          <w14:ligatures w14:val="none"/>
        </w:rPr>
      </w:pPr>
    </w:p>
    <w:p w14:paraId="779D757E" w14:textId="77777777" w:rsidR="002D1D84" w:rsidRPr="00176409" w:rsidRDefault="002D1D84" w:rsidP="00602920">
      <w:pPr>
        <w:spacing w:after="0" w:line="240" w:lineRule="auto"/>
        <w:rPr>
          <w:rFonts w:ascii="Open Sans" w:eastAsia="Times New Roman" w:hAnsi="Open Sans" w:cs="Open Sans"/>
          <w:kern w:val="0"/>
          <w:sz w:val="24"/>
          <w:szCs w:val="24"/>
          <w:lang w:eastAsia="en-GB"/>
          <w14:ligatures w14:val="none"/>
        </w:rPr>
      </w:pPr>
    </w:p>
    <w:p w14:paraId="270958BD" w14:textId="77777777" w:rsidR="002D1D84" w:rsidRPr="00176409" w:rsidRDefault="002D1D84" w:rsidP="00602920">
      <w:pPr>
        <w:spacing w:after="0" w:line="240" w:lineRule="auto"/>
        <w:rPr>
          <w:rFonts w:ascii="Open Sans" w:eastAsia="Times New Roman" w:hAnsi="Open Sans" w:cs="Open Sans"/>
          <w:kern w:val="0"/>
          <w:sz w:val="24"/>
          <w:szCs w:val="24"/>
          <w:lang w:eastAsia="en-GB"/>
          <w14:ligatures w14:val="none"/>
        </w:rPr>
      </w:pPr>
    </w:p>
    <w:p w14:paraId="49F693A7" w14:textId="77777777" w:rsidR="002D1D84" w:rsidRPr="00176409" w:rsidRDefault="002D1D84" w:rsidP="00602920">
      <w:pPr>
        <w:spacing w:after="0" w:line="240" w:lineRule="auto"/>
        <w:rPr>
          <w:rFonts w:ascii="Open Sans" w:eastAsia="Times New Roman" w:hAnsi="Open Sans" w:cs="Open Sans"/>
          <w:kern w:val="0"/>
          <w:sz w:val="24"/>
          <w:szCs w:val="24"/>
          <w:lang w:eastAsia="en-GB"/>
          <w14:ligatures w14:val="none"/>
        </w:rPr>
      </w:pPr>
    </w:p>
    <w:p w14:paraId="647932E9" w14:textId="77777777" w:rsidR="002D1D84" w:rsidRPr="00176409" w:rsidRDefault="002D1D84" w:rsidP="00602920">
      <w:pPr>
        <w:spacing w:after="0" w:line="240" w:lineRule="auto"/>
        <w:rPr>
          <w:rFonts w:ascii="Open Sans" w:eastAsia="Times New Roman" w:hAnsi="Open Sans" w:cs="Open Sans"/>
          <w:kern w:val="0"/>
          <w:sz w:val="24"/>
          <w:szCs w:val="24"/>
          <w:lang w:eastAsia="en-GB"/>
          <w14:ligatures w14:val="none"/>
        </w:rPr>
      </w:pPr>
    </w:p>
    <w:p w14:paraId="3F2ACB21" w14:textId="77777777" w:rsidR="002D1D84" w:rsidRPr="00176409" w:rsidRDefault="002D1D84" w:rsidP="00602920">
      <w:pPr>
        <w:spacing w:after="0" w:line="240" w:lineRule="auto"/>
        <w:rPr>
          <w:rFonts w:ascii="Open Sans" w:eastAsia="Times New Roman" w:hAnsi="Open Sans" w:cs="Open Sans"/>
          <w:kern w:val="0"/>
          <w:sz w:val="24"/>
          <w:szCs w:val="24"/>
          <w:lang w:eastAsia="en-GB"/>
          <w14:ligatures w14:val="none"/>
        </w:rPr>
      </w:pPr>
    </w:p>
    <w:p w14:paraId="3C6B5F99" w14:textId="77777777" w:rsidR="002D1D84" w:rsidRPr="00176409" w:rsidRDefault="002D1D84" w:rsidP="00602920">
      <w:pPr>
        <w:spacing w:after="0" w:line="240" w:lineRule="auto"/>
        <w:rPr>
          <w:rFonts w:ascii="Open Sans" w:eastAsia="Times New Roman" w:hAnsi="Open Sans" w:cs="Open Sans"/>
          <w:kern w:val="0"/>
          <w:sz w:val="24"/>
          <w:szCs w:val="24"/>
          <w:lang w:eastAsia="en-GB"/>
          <w14:ligatures w14:val="none"/>
        </w:rPr>
      </w:pPr>
    </w:p>
    <w:p w14:paraId="5DF15913" w14:textId="77777777" w:rsidR="002D1D84" w:rsidRPr="00176409" w:rsidRDefault="002D1D84" w:rsidP="00602920">
      <w:pPr>
        <w:spacing w:after="0" w:line="240" w:lineRule="auto"/>
        <w:rPr>
          <w:rFonts w:ascii="Open Sans" w:eastAsia="Times New Roman" w:hAnsi="Open Sans" w:cs="Open Sans"/>
          <w:kern w:val="0"/>
          <w:sz w:val="24"/>
          <w:szCs w:val="24"/>
          <w:lang w:eastAsia="en-GB"/>
          <w14:ligatures w14:val="none"/>
        </w:rPr>
      </w:pPr>
    </w:p>
    <w:p w14:paraId="25C76046" w14:textId="77777777" w:rsidR="002D1D84" w:rsidRPr="00176409" w:rsidRDefault="002D1D84" w:rsidP="00602920">
      <w:pPr>
        <w:spacing w:after="0" w:line="240" w:lineRule="auto"/>
        <w:rPr>
          <w:rFonts w:ascii="Open Sans" w:eastAsia="Times New Roman" w:hAnsi="Open Sans" w:cs="Open Sans"/>
          <w:kern w:val="0"/>
          <w:sz w:val="24"/>
          <w:szCs w:val="24"/>
          <w:lang w:eastAsia="en-GB"/>
          <w14:ligatures w14:val="none"/>
        </w:rPr>
      </w:pPr>
    </w:p>
    <w:p w14:paraId="64310BE2" w14:textId="77777777" w:rsidR="002D1D84" w:rsidRPr="00176409" w:rsidRDefault="002D1D84" w:rsidP="00602920">
      <w:pPr>
        <w:spacing w:after="0" w:line="240" w:lineRule="auto"/>
        <w:rPr>
          <w:rFonts w:ascii="Open Sans" w:eastAsia="Times New Roman" w:hAnsi="Open Sans" w:cs="Open Sans"/>
          <w:kern w:val="0"/>
          <w:sz w:val="24"/>
          <w:szCs w:val="24"/>
          <w:lang w:eastAsia="en-GB"/>
          <w14:ligatures w14:val="none"/>
        </w:rPr>
      </w:pPr>
    </w:p>
    <w:p w14:paraId="58DCF408" w14:textId="3AC09698" w:rsidR="00CE4808" w:rsidRDefault="00176409" w:rsidP="00CE4808">
      <w:pPr>
        <w:pStyle w:val="TOC2"/>
        <w:tabs>
          <w:tab w:val="right" w:leader="dot" w:pos="9016"/>
        </w:tabs>
        <w:spacing w:line="480" w:lineRule="auto"/>
        <w:rPr>
          <w:rFonts w:eastAsiaTheme="minorEastAsia"/>
          <w:smallCaps w:val="0"/>
          <w:noProof/>
          <w:sz w:val="24"/>
          <w:szCs w:val="24"/>
          <w:lang w:eastAsia="en-GB"/>
        </w:rPr>
      </w:pPr>
      <w:r w:rsidRPr="00176409">
        <w:rPr>
          <w:rFonts w:ascii="Open Sans" w:eastAsia="Times New Roman" w:hAnsi="Open Sans" w:cs="Open Sans"/>
          <w:b/>
          <w:bCs/>
          <w:kern w:val="0"/>
          <w:sz w:val="24"/>
          <w:szCs w:val="24"/>
          <w:lang w:eastAsia="en-GB"/>
          <w14:ligatures w14:val="none"/>
        </w:rPr>
        <w:fldChar w:fldCharType="begin"/>
      </w:r>
      <w:r w:rsidRPr="00176409">
        <w:rPr>
          <w:rFonts w:ascii="Open Sans" w:eastAsia="Times New Roman" w:hAnsi="Open Sans" w:cs="Open Sans"/>
          <w:b/>
          <w:bCs/>
          <w:kern w:val="0"/>
          <w:sz w:val="24"/>
          <w:szCs w:val="24"/>
          <w:lang w:eastAsia="en-GB"/>
          <w14:ligatures w14:val="none"/>
        </w:rPr>
        <w:instrText xml:space="preserve"> TOC \o "1-3" \h \z \u </w:instrText>
      </w:r>
      <w:r w:rsidRPr="00176409">
        <w:rPr>
          <w:rFonts w:ascii="Open Sans" w:eastAsia="Times New Roman" w:hAnsi="Open Sans" w:cs="Open Sans"/>
          <w:b/>
          <w:bCs/>
          <w:kern w:val="0"/>
          <w:sz w:val="24"/>
          <w:szCs w:val="24"/>
          <w:lang w:eastAsia="en-GB"/>
          <w14:ligatures w14:val="none"/>
        </w:rPr>
        <w:fldChar w:fldCharType="separate"/>
      </w:r>
      <w:hyperlink w:anchor="_Toc205035959" w:history="1">
        <w:r w:rsidR="00CE4808" w:rsidRPr="00875BCE">
          <w:rPr>
            <w:rStyle w:val="Hyperlink"/>
            <w:rFonts w:ascii="Open Sans" w:eastAsia="Times New Roman" w:hAnsi="Open Sans" w:cs="Open Sans"/>
            <w:b/>
            <w:bCs/>
            <w:noProof/>
            <w:kern w:val="0"/>
            <w:lang w:eastAsia="en-GB"/>
            <w14:ligatures w14:val="none"/>
          </w:rPr>
          <w:t>1. Introduction to Risk Management Framework</w:t>
        </w:r>
        <w:r w:rsidR="00CE4808">
          <w:rPr>
            <w:noProof/>
            <w:webHidden/>
          </w:rPr>
          <w:tab/>
        </w:r>
        <w:r w:rsidR="00CE4808">
          <w:rPr>
            <w:noProof/>
            <w:webHidden/>
          </w:rPr>
          <w:fldChar w:fldCharType="begin"/>
        </w:r>
        <w:r w:rsidR="00CE4808">
          <w:rPr>
            <w:noProof/>
            <w:webHidden/>
          </w:rPr>
          <w:instrText xml:space="preserve"> PAGEREF _Toc205035959 \h </w:instrText>
        </w:r>
        <w:r w:rsidR="00CE4808">
          <w:rPr>
            <w:noProof/>
            <w:webHidden/>
          </w:rPr>
        </w:r>
        <w:r w:rsidR="00CE4808">
          <w:rPr>
            <w:noProof/>
            <w:webHidden/>
          </w:rPr>
          <w:fldChar w:fldCharType="separate"/>
        </w:r>
        <w:r w:rsidR="00CD2AB8">
          <w:rPr>
            <w:noProof/>
            <w:webHidden/>
          </w:rPr>
          <w:t>3</w:t>
        </w:r>
        <w:r w:rsidR="00CE4808">
          <w:rPr>
            <w:noProof/>
            <w:webHidden/>
          </w:rPr>
          <w:fldChar w:fldCharType="end"/>
        </w:r>
      </w:hyperlink>
    </w:p>
    <w:p w14:paraId="2F8ABD69" w14:textId="1199E8CC" w:rsidR="00CE4808" w:rsidRDefault="00CE4808" w:rsidP="00CE4808">
      <w:pPr>
        <w:pStyle w:val="TOC2"/>
        <w:tabs>
          <w:tab w:val="right" w:leader="dot" w:pos="9016"/>
        </w:tabs>
        <w:spacing w:line="480" w:lineRule="auto"/>
        <w:rPr>
          <w:rFonts w:eastAsiaTheme="minorEastAsia"/>
          <w:smallCaps w:val="0"/>
          <w:noProof/>
          <w:sz w:val="24"/>
          <w:szCs w:val="24"/>
          <w:lang w:eastAsia="en-GB"/>
        </w:rPr>
      </w:pPr>
      <w:hyperlink w:anchor="_Toc205035960" w:history="1">
        <w:r w:rsidRPr="00875BCE">
          <w:rPr>
            <w:rStyle w:val="Hyperlink"/>
            <w:rFonts w:ascii="Open Sans" w:eastAsia="Times New Roman" w:hAnsi="Open Sans" w:cs="Open Sans"/>
            <w:b/>
            <w:bCs/>
            <w:noProof/>
            <w:kern w:val="0"/>
            <w:lang w:eastAsia="en-GB"/>
            <w14:ligatures w14:val="none"/>
          </w:rPr>
          <w:t>2. Settlement Risk</w:t>
        </w:r>
        <w:r>
          <w:rPr>
            <w:noProof/>
            <w:webHidden/>
          </w:rPr>
          <w:tab/>
        </w:r>
        <w:r>
          <w:rPr>
            <w:noProof/>
            <w:webHidden/>
          </w:rPr>
          <w:fldChar w:fldCharType="begin"/>
        </w:r>
        <w:r>
          <w:rPr>
            <w:noProof/>
            <w:webHidden/>
          </w:rPr>
          <w:instrText xml:space="preserve"> PAGEREF _Toc205035960 \h </w:instrText>
        </w:r>
        <w:r>
          <w:rPr>
            <w:noProof/>
            <w:webHidden/>
          </w:rPr>
        </w:r>
        <w:r>
          <w:rPr>
            <w:noProof/>
            <w:webHidden/>
          </w:rPr>
          <w:fldChar w:fldCharType="separate"/>
        </w:r>
        <w:r w:rsidR="00CD2AB8">
          <w:rPr>
            <w:noProof/>
            <w:webHidden/>
          </w:rPr>
          <w:t>3</w:t>
        </w:r>
        <w:r>
          <w:rPr>
            <w:noProof/>
            <w:webHidden/>
          </w:rPr>
          <w:fldChar w:fldCharType="end"/>
        </w:r>
      </w:hyperlink>
    </w:p>
    <w:p w14:paraId="78912B33" w14:textId="6E8398D2" w:rsidR="00CE4808" w:rsidRDefault="00CE4808" w:rsidP="00CE4808">
      <w:pPr>
        <w:pStyle w:val="TOC2"/>
        <w:tabs>
          <w:tab w:val="right" w:leader="dot" w:pos="9016"/>
        </w:tabs>
        <w:spacing w:line="480" w:lineRule="auto"/>
        <w:rPr>
          <w:rFonts w:eastAsiaTheme="minorEastAsia"/>
          <w:smallCaps w:val="0"/>
          <w:noProof/>
          <w:sz w:val="24"/>
          <w:szCs w:val="24"/>
          <w:lang w:eastAsia="en-GB"/>
        </w:rPr>
      </w:pPr>
      <w:hyperlink w:anchor="_Toc205035961" w:history="1">
        <w:r w:rsidRPr="00875BCE">
          <w:rPr>
            <w:rStyle w:val="Hyperlink"/>
            <w:rFonts w:ascii="Open Sans" w:eastAsia="Times New Roman" w:hAnsi="Open Sans" w:cs="Open Sans"/>
            <w:b/>
            <w:bCs/>
            <w:noProof/>
            <w:kern w:val="0"/>
            <w:lang w:eastAsia="en-GB"/>
            <w14:ligatures w14:val="none"/>
          </w:rPr>
          <w:t>3. Operational Risk</w:t>
        </w:r>
        <w:r>
          <w:rPr>
            <w:noProof/>
            <w:webHidden/>
          </w:rPr>
          <w:tab/>
        </w:r>
        <w:r>
          <w:rPr>
            <w:noProof/>
            <w:webHidden/>
          </w:rPr>
          <w:fldChar w:fldCharType="begin"/>
        </w:r>
        <w:r>
          <w:rPr>
            <w:noProof/>
            <w:webHidden/>
          </w:rPr>
          <w:instrText xml:space="preserve"> PAGEREF _Toc205035961 \h </w:instrText>
        </w:r>
        <w:r>
          <w:rPr>
            <w:noProof/>
            <w:webHidden/>
          </w:rPr>
        </w:r>
        <w:r>
          <w:rPr>
            <w:noProof/>
            <w:webHidden/>
          </w:rPr>
          <w:fldChar w:fldCharType="separate"/>
        </w:r>
        <w:r w:rsidR="00CD2AB8">
          <w:rPr>
            <w:noProof/>
            <w:webHidden/>
          </w:rPr>
          <w:t>4</w:t>
        </w:r>
        <w:r>
          <w:rPr>
            <w:noProof/>
            <w:webHidden/>
          </w:rPr>
          <w:fldChar w:fldCharType="end"/>
        </w:r>
      </w:hyperlink>
    </w:p>
    <w:p w14:paraId="74333D5C" w14:textId="64B390C8" w:rsidR="00CE4808" w:rsidRDefault="00CE4808" w:rsidP="00CE4808">
      <w:pPr>
        <w:pStyle w:val="TOC2"/>
        <w:tabs>
          <w:tab w:val="right" w:leader="dot" w:pos="9016"/>
        </w:tabs>
        <w:spacing w:line="480" w:lineRule="auto"/>
        <w:rPr>
          <w:rFonts w:eastAsiaTheme="minorEastAsia"/>
          <w:smallCaps w:val="0"/>
          <w:noProof/>
          <w:sz w:val="24"/>
          <w:szCs w:val="24"/>
          <w:lang w:eastAsia="en-GB"/>
        </w:rPr>
      </w:pPr>
      <w:hyperlink w:anchor="_Toc205035962" w:history="1">
        <w:r w:rsidRPr="00875BCE">
          <w:rPr>
            <w:rStyle w:val="Hyperlink"/>
            <w:rFonts w:ascii="Open Sans" w:eastAsia="Times New Roman" w:hAnsi="Open Sans" w:cs="Open Sans"/>
            <w:b/>
            <w:bCs/>
            <w:noProof/>
            <w:kern w:val="0"/>
            <w:lang w:eastAsia="en-GB"/>
            <w14:ligatures w14:val="none"/>
          </w:rPr>
          <w:t>4. Counterparty Risk</w:t>
        </w:r>
        <w:r>
          <w:rPr>
            <w:noProof/>
            <w:webHidden/>
          </w:rPr>
          <w:tab/>
        </w:r>
        <w:r>
          <w:rPr>
            <w:noProof/>
            <w:webHidden/>
          </w:rPr>
          <w:fldChar w:fldCharType="begin"/>
        </w:r>
        <w:r>
          <w:rPr>
            <w:noProof/>
            <w:webHidden/>
          </w:rPr>
          <w:instrText xml:space="preserve"> PAGEREF _Toc205035962 \h </w:instrText>
        </w:r>
        <w:r>
          <w:rPr>
            <w:noProof/>
            <w:webHidden/>
          </w:rPr>
        </w:r>
        <w:r>
          <w:rPr>
            <w:noProof/>
            <w:webHidden/>
          </w:rPr>
          <w:fldChar w:fldCharType="separate"/>
        </w:r>
        <w:r w:rsidR="00CD2AB8">
          <w:rPr>
            <w:noProof/>
            <w:webHidden/>
          </w:rPr>
          <w:t>4</w:t>
        </w:r>
        <w:r>
          <w:rPr>
            <w:noProof/>
            <w:webHidden/>
          </w:rPr>
          <w:fldChar w:fldCharType="end"/>
        </w:r>
      </w:hyperlink>
    </w:p>
    <w:p w14:paraId="6CC5D9BF" w14:textId="6B8FE0FB" w:rsidR="00CE4808" w:rsidRDefault="00CE4808" w:rsidP="00CE4808">
      <w:pPr>
        <w:pStyle w:val="TOC2"/>
        <w:tabs>
          <w:tab w:val="right" w:leader="dot" w:pos="9016"/>
        </w:tabs>
        <w:spacing w:line="480" w:lineRule="auto"/>
        <w:rPr>
          <w:rFonts w:eastAsiaTheme="minorEastAsia"/>
          <w:smallCaps w:val="0"/>
          <w:noProof/>
          <w:sz w:val="24"/>
          <w:szCs w:val="24"/>
          <w:lang w:eastAsia="en-GB"/>
        </w:rPr>
      </w:pPr>
      <w:hyperlink w:anchor="_Toc205035963" w:history="1">
        <w:r w:rsidRPr="00875BCE">
          <w:rPr>
            <w:rStyle w:val="Hyperlink"/>
            <w:rFonts w:ascii="Open Sans" w:eastAsia="Times New Roman" w:hAnsi="Open Sans" w:cs="Open Sans"/>
            <w:b/>
            <w:bCs/>
            <w:noProof/>
            <w:kern w:val="0"/>
            <w:lang w:eastAsia="en-GB"/>
            <w14:ligatures w14:val="none"/>
          </w:rPr>
          <w:t>5. Liquidity Risk</w:t>
        </w:r>
        <w:r>
          <w:rPr>
            <w:noProof/>
            <w:webHidden/>
          </w:rPr>
          <w:tab/>
        </w:r>
        <w:r>
          <w:rPr>
            <w:noProof/>
            <w:webHidden/>
          </w:rPr>
          <w:fldChar w:fldCharType="begin"/>
        </w:r>
        <w:r>
          <w:rPr>
            <w:noProof/>
            <w:webHidden/>
          </w:rPr>
          <w:instrText xml:space="preserve"> PAGEREF _Toc205035963 \h </w:instrText>
        </w:r>
        <w:r>
          <w:rPr>
            <w:noProof/>
            <w:webHidden/>
          </w:rPr>
        </w:r>
        <w:r>
          <w:rPr>
            <w:noProof/>
            <w:webHidden/>
          </w:rPr>
          <w:fldChar w:fldCharType="separate"/>
        </w:r>
        <w:r w:rsidR="00CD2AB8">
          <w:rPr>
            <w:noProof/>
            <w:webHidden/>
          </w:rPr>
          <w:t>4</w:t>
        </w:r>
        <w:r>
          <w:rPr>
            <w:noProof/>
            <w:webHidden/>
          </w:rPr>
          <w:fldChar w:fldCharType="end"/>
        </w:r>
      </w:hyperlink>
    </w:p>
    <w:p w14:paraId="7D3F60CE" w14:textId="4AD33FEB" w:rsidR="00CE4808" w:rsidRDefault="00CE4808" w:rsidP="00CE4808">
      <w:pPr>
        <w:pStyle w:val="TOC2"/>
        <w:tabs>
          <w:tab w:val="right" w:leader="dot" w:pos="9016"/>
        </w:tabs>
        <w:spacing w:line="480" w:lineRule="auto"/>
        <w:rPr>
          <w:rFonts w:eastAsiaTheme="minorEastAsia"/>
          <w:smallCaps w:val="0"/>
          <w:noProof/>
          <w:sz w:val="24"/>
          <w:szCs w:val="24"/>
          <w:lang w:eastAsia="en-GB"/>
        </w:rPr>
      </w:pPr>
      <w:hyperlink w:anchor="_Toc205035964" w:history="1">
        <w:r w:rsidRPr="00875BCE">
          <w:rPr>
            <w:rStyle w:val="Hyperlink"/>
            <w:rFonts w:ascii="Open Sans" w:eastAsia="Times New Roman" w:hAnsi="Open Sans" w:cs="Open Sans"/>
            <w:b/>
            <w:bCs/>
            <w:noProof/>
            <w:kern w:val="0"/>
            <w:lang w:eastAsia="en-GB"/>
            <w14:ligatures w14:val="none"/>
          </w:rPr>
          <w:t>7. Financial Crime Risk</w:t>
        </w:r>
        <w:r>
          <w:rPr>
            <w:noProof/>
            <w:webHidden/>
          </w:rPr>
          <w:tab/>
        </w:r>
        <w:r>
          <w:rPr>
            <w:noProof/>
            <w:webHidden/>
          </w:rPr>
          <w:fldChar w:fldCharType="begin"/>
        </w:r>
        <w:r>
          <w:rPr>
            <w:noProof/>
            <w:webHidden/>
          </w:rPr>
          <w:instrText xml:space="preserve"> PAGEREF _Toc205035964 \h </w:instrText>
        </w:r>
        <w:r>
          <w:rPr>
            <w:noProof/>
            <w:webHidden/>
          </w:rPr>
        </w:r>
        <w:r>
          <w:rPr>
            <w:noProof/>
            <w:webHidden/>
          </w:rPr>
          <w:fldChar w:fldCharType="separate"/>
        </w:r>
        <w:r w:rsidR="00CD2AB8">
          <w:rPr>
            <w:noProof/>
            <w:webHidden/>
          </w:rPr>
          <w:t>6</w:t>
        </w:r>
        <w:r>
          <w:rPr>
            <w:noProof/>
            <w:webHidden/>
          </w:rPr>
          <w:fldChar w:fldCharType="end"/>
        </w:r>
      </w:hyperlink>
    </w:p>
    <w:p w14:paraId="0371B8C0" w14:textId="53FAB297" w:rsidR="00CE4808" w:rsidRDefault="00CE4808" w:rsidP="00CE4808">
      <w:pPr>
        <w:pStyle w:val="TOC2"/>
        <w:tabs>
          <w:tab w:val="right" w:leader="dot" w:pos="9016"/>
        </w:tabs>
        <w:spacing w:line="480" w:lineRule="auto"/>
        <w:rPr>
          <w:rFonts w:eastAsiaTheme="minorEastAsia"/>
          <w:smallCaps w:val="0"/>
          <w:noProof/>
          <w:sz w:val="24"/>
          <w:szCs w:val="24"/>
          <w:lang w:eastAsia="en-GB"/>
        </w:rPr>
      </w:pPr>
      <w:hyperlink w:anchor="_Toc205035965" w:history="1">
        <w:r w:rsidRPr="00875BCE">
          <w:rPr>
            <w:rStyle w:val="Hyperlink"/>
            <w:rFonts w:ascii="Open Sans" w:eastAsia="Times New Roman" w:hAnsi="Open Sans" w:cs="Open Sans"/>
            <w:b/>
            <w:bCs/>
            <w:noProof/>
            <w:kern w:val="0"/>
            <w:lang w:eastAsia="en-GB"/>
            <w14:ligatures w14:val="none"/>
          </w:rPr>
          <w:t>9. Summary Risk–Control Matrix</w:t>
        </w:r>
        <w:r>
          <w:rPr>
            <w:noProof/>
            <w:webHidden/>
          </w:rPr>
          <w:tab/>
        </w:r>
        <w:r>
          <w:rPr>
            <w:noProof/>
            <w:webHidden/>
          </w:rPr>
          <w:fldChar w:fldCharType="begin"/>
        </w:r>
        <w:r>
          <w:rPr>
            <w:noProof/>
            <w:webHidden/>
          </w:rPr>
          <w:instrText xml:space="preserve"> PAGEREF _Toc205035965 \h </w:instrText>
        </w:r>
        <w:r>
          <w:rPr>
            <w:noProof/>
            <w:webHidden/>
          </w:rPr>
        </w:r>
        <w:r>
          <w:rPr>
            <w:noProof/>
            <w:webHidden/>
          </w:rPr>
          <w:fldChar w:fldCharType="separate"/>
        </w:r>
        <w:r w:rsidR="00CD2AB8">
          <w:rPr>
            <w:noProof/>
            <w:webHidden/>
          </w:rPr>
          <w:t>7</w:t>
        </w:r>
        <w:r>
          <w:rPr>
            <w:noProof/>
            <w:webHidden/>
          </w:rPr>
          <w:fldChar w:fldCharType="end"/>
        </w:r>
      </w:hyperlink>
    </w:p>
    <w:p w14:paraId="3CC93F3E" w14:textId="10A85858" w:rsidR="00CE4808" w:rsidRDefault="00CE4808" w:rsidP="00CE4808">
      <w:pPr>
        <w:pStyle w:val="TOC2"/>
        <w:tabs>
          <w:tab w:val="right" w:leader="dot" w:pos="9016"/>
        </w:tabs>
        <w:spacing w:line="480" w:lineRule="auto"/>
        <w:rPr>
          <w:rFonts w:eastAsiaTheme="minorEastAsia"/>
          <w:smallCaps w:val="0"/>
          <w:noProof/>
          <w:sz w:val="24"/>
          <w:szCs w:val="24"/>
          <w:lang w:eastAsia="en-GB"/>
        </w:rPr>
      </w:pPr>
      <w:hyperlink w:anchor="_Toc205035966" w:history="1">
        <w:r w:rsidRPr="00875BCE">
          <w:rPr>
            <w:rStyle w:val="Hyperlink"/>
            <w:rFonts w:ascii="Open Sans" w:eastAsia="Times New Roman" w:hAnsi="Open Sans" w:cs="Open Sans"/>
            <w:b/>
            <w:bCs/>
            <w:noProof/>
            <w:kern w:val="0"/>
            <w:lang w:eastAsia="en-GB"/>
            <w14:ligatures w14:val="none"/>
          </w:rPr>
          <w:t>10. Risk Assessment &amp; Matrix / Risk Score</w:t>
        </w:r>
        <w:r>
          <w:rPr>
            <w:noProof/>
            <w:webHidden/>
          </w:rPr>
          <w:tab/>
        </w:r>
        <w:r>
          <w:rPr>
            <w:noProof/>
            <w:webHidden/>
          </w:rPr>
          <w:fldChar w:fldCharType="begin"/>
        </w:r>
        <w:r>
          <w:rPr>
            <w:noProof/>
            <w:webHidden/>
          </w:rPr>
          <w:instrText xml:space="preserve"> PAGEREF _Toc205035966 \h </w:instrText>
        </w:r>
        <w:r>
          <w:rPr>
            <w:noProof/>
            <w:webHidden/>
          </w:rPr>
        </w:r>
        <w:r>
          <w:rPr>
            <w:noProof/>
            <w:webHidden/>
          </w:rPr>
          <w:fldChar w:fldCharType="separate"/>
        </w:r>
        <w:r w:rsidR="00CD2AB8">
          <w:rPr>
            <w:noProof/>
            <w:webHidden/>
          </w:rPr>
          <w:t>8</w:t>
        </w:r>
        <w:r>
          <w:rPr>
            <w:noProof/>
            <w:webHidden/>
          </w:rPr>
          <w:fldChar w:fldCharType="end"/>
        </w:r>
      </w:hyperlink>
    </w:p>
    <w:p w14:paraId="0F8C0EC9" w14:textId="52A3FBD5" w:rsidR="00CE4808" w:rsidRDefault="00CE4808" w:rsidP="00CE4808">
      <w:pPr>
        <w:pStyle w:val="TOC2"/>
        <w:tabs>
          <w:tab w:val="right" w:leader="dot" w:pos="9016"/>
        </w:tabs>
        <w:spacing w:line="480" w:lineRule="auto"/>
        <w:rPr>
          <w:rFonts w:eastAsiaTheme="minorEastAsia"/>
          <w:smallCaps w:val="0"/>
          <w:noProof/>
          <w:sz w:val="24"/>
          <w:szCs w:val="24"/>
          <w:lang w:eastAsia="en-GB"/>
        </w:rPr>
      </w:pPr>
      <w:hyperlink w:anchor="_Toc205035967" w:history="1">
        <w:r w:rsidRPr="00875BCE">
          <w:rPr>
            <w:rStyle w:val="Hyperlink"/>
            <w:rFonts w:ascii="Open Sans" w:eastAsia="Times New Roman" w:hAnsi="Open Sans" w:cs="Open Sans"/>
            <w:b/>
            <w:bCs/>
            <w:noProof/>
            <w:kern w:val="0"/>
            <w:lang w:eastAsia="en-GB"/>
            <w14:ligatures w14:val="none"/>
          </w:rPr>
          <w:t>11. customer Segmentation by Risk Factors</w:t>
        </w:r>
        <w:r>
          <w:rPr>
            <w:noProof/>
            <w:webHidden/>
          </w:rPr>
          <w:tab/>
        </w:r>
        <w:r>
          <w:rPr>
            <w:noProof/>
            <w:webHidden/>
          </w:rPr>
          <w:fldChar w:fldCharType="begin"/>
        </w:r>
        <w:r>
          <w:rPr>
            <w:noProof/>
            <w:webHidden/>
          </w:rPr>
          <w:instrText xml:space="preserve"> PAGEREF _Toc205035967 \h </w:instrText>
        </w:r>
        <w:r>
          <w:rPr>
            <w:noProof/>
            <w:webHidden/>
          </w:rPr>
        </w:r>
        <w:r>
          <w:rPr>
            <w:noProof/>
            <w:webHidden/>
          </w:rPr>
          <w:fldChar w:fldCharType="separate"/>
        </w:r>
        <w:r w:rsidR="00CD2AB8">
          <w:rPr>
            <w:noProof/>
            <w:webHidden/>
          </w:rPr>
          <w:t>8</w:t>
        </w:r>
        <w:r>
          <w:rPr>
            <w:noProof/>
            <w:webHidden/>
          </w:rPr>
          <w:fldChar w:fldCharType="end"/>
        </w:r>
      </w:hyperlink>
    </w:p>
    <w:p w14:paraId="0B1FDFA8" w14:textId="58B12DFD" w:rsidR="00CE4808" w:rsidRDefault="00CE4808" w:rsidP="00CE4808">
      <w:pPr>
        <w:pStyle w:val="TOC3"/>
        <w:tabs>
          <w:tab w:val="right" w:leader="dot" w:pos="9016"/>
        </w:tabs>
        <w:spacing w:line="480" w:lineRule="auto"/>
        <w:rPr>
          <w:rFonts w:eastAsiaTheme="minorEastAsia"/>
          <w:i w:val="0"/>
          <w:iCs w:val="0"/>
          <w:noProof/>
          <w:sz w:val="24"/>
          <w:szCs w:val="24"/>
          <w:lang w:eastAsia="en-GB"/>
        </w:rPr>
      </w:pPr>
      <w:hyperlink w:anchor="_Toc205035968" w:history="1">
        <w:r w:rsidRPr="00875BCE">
          <w:rPr>
            <w:rStyle w:val="Hyperlink"/>
            <w:rFonts w:ascii="Open Sans" w:eastAsia="Times New Roman" w:hAnsi="Open Sans" w:cs="Open Sans"/>
            <w:noProof/>
            <w:kern w:val="0"/>
            <w:lang w:eastAsia="en-GB"/>
            <w14:ligatures w14:val="none"/>
          </w:rPr>
          <w:t>Geography</w:t>
        </w:r>
        <w:r>
          <w:rPr>
            <w:noProof/>
            <w:webHidden/>
          </w:rPr>
          <w:tab/>
        </w:r>
        <w:r>
          <w:rPr>
            <w:noProof/>
            <w:webHidden/>
          </w:rPr>
          <w:fldChar w:fldCharType="begin"/>
        </w:r>
        <w:r>
          <w:rPr>
            <w:noProof/>
            <w:webHidden/>
          </w:rPr>
          <w:instrText xml:space="preserve"> PAGEREF _Toc205035968 \h </w:instrText>
        </w:r>
        <w:r>
          <w:rPr>
            <w:noProof/>
            <w:webHidden/>
          </w:rPr>
        </w:r>
        <w:r>
          <w:rPr>
            <w:noProof/>
            <w:webHidden/>
          </w:rPr>
          <w:fldChar w:fldCharType="separate"/>
        </w:r>
        <w:r w:rsidR="00CD2AB8">
          <w:rPr>
            <w:noProof/>
            <w:webHidden/>
          </w:rPr>
          <w:t>9</w:t>
        </w:r>
        <w:r>
          <w:rPr>
            <w:noProof/>
            <w:webHidden/>
          </w:rPr>
          <w:fldChar w:fldCharType="end"/>
        </w:r>
      </w:hyperlink>
    </w:p>
    <w:p w14:paraId="60D3F111" w14:textId="09E1C36D" w:rsidR="00CE4808" w:rsidRDefault="00CE4808" w:rsidP="00CE4808">
      <w:pPr>
        <w:pStyle w:val="TOC3"/>
        <w:tabs>
          <w:tab w:val="right" w:leader="dot" w:pos="9016"/>
        </w:tabs>
        <w:spacing w:line="480" w:lineRule="auto"/>
        <w:rPr>
          <w:rFonts w:eastAsiaTheme="minorEastAsia"/>
          <w:i w:val="0"/>
          <w:iCs w:val="0"/>
          <w:noProof/>
          <w:sz w:val="24"/>
          <w:szCs w:val="24"/>
          <w:lang w:eastAsia="en-GB"/>
        </w:rPr>
      </w:pPr>
      <w:hyperlink w:anchor="_Toc205035969" w:history="1">
        <w:r w:rsidRPr="00875BCE">
          <w:rPr>
            <w:rStyle w:val="Hyperlink"/>
            <w:rFonts w:ascii="Open Sans" w:eastAsia="Times New Roman" w:hAnsi="Open Sans" w:cs="Open Sans"/>
            <w:noProof/>
            <w:kern w:val="0"/>
            <w:lang w:eastAsia="en-GB"/>
            <w14:ligatures w14:val="none"/>
          </w:rPr>
          <w:t>Product</w:t>
        </w:r>
        <w:r>
          <w:rPr>
            <w:noProof/>
            <w:webHidden/>
          </w:rPr>
          <w:tab/>
        </w:r>
        <w:r>
          <w:rPr>
            <w:noProof/>
            <w:webHidden/>
          </w:rPr>
          <w:fldChar w:fldCharType="begin"/>
        </w:r>
        <w:r>
          <w:rPr>
            <w:noProof/>
            <w:webHidden/>
          </w:rPr>
          <w:instrText xml:space="preserve"> PAGEREF _Toc205035969 \h </w:instrText>
        </w:r>
        <w:r>
          <w:rPr>
            <w:noProof/>
            <w:webHidden/>
          </w:rPr>
        </w:r>
        <w:r>
          <w:rPr>
            <w:noProof/>
            <w:webHidden/>
          </w:rPr>
          <w:fldChar w:fldCharType="separate"/>
        </w:r>
        <w:r w:rsidR="00CD2AB8">
          <w:rPr>
            <w:noProof/>
            <w:webHidden/>
          </w:rPr>
          <w:t>9</w:t>
        </w:r>
        <w:r>
          <w:rPr>
            <w:noProof/>
            <w:webHidden/>
          </w:rPr>
          <w:fldChar w:fldCharType="end"/>
        </w:r>
      </w:hyperlink>
    </w:p>
    <w:p w14:paraId="3DD40C7E" w14:textId="3019CB5A" w:rsidR="00CE4808" w:rsidRDefault="00CE4808" w:rsidP="00CE4808">
      <w:pPr>
        <w:pStyle w:val="TOC3"/>
        <w:tabs>
          <w:tab w:val="right" w:leader="dot" w:pos="9016"/>
        </w:tabs>
        <w:spacing w:line="480" w:lineRule="auto"/>
        <w:rPr>
          <w:rFonts w:eastAsiaTheme="minorEastAsia"/>
          <w:i w:val="0"/>
          <w:iCs w:val="0"/>
          <w:noProof/>
          <w:sz w:val="24"/>
          <w:szCs w:val="24"/>
          <w:lang w:eastAsia="en-GB"/>
        </w:rPr>
      </w:pPr>
      <w:hyperlink w:anchor="_Toc205035970" w:history="1">
        <w:r w:rsidRPr="00875BCE">
          <w:rPr>
            <w:rStyle w:val="Hyperlink"/>
            <w:rFonts w:ascii="Open Sans" w:eastAsia="Times New Roman" w:hAnsi="Open Sans" w:cs="Open Sans"/>
            <w:noProof/>
            <w:kern w:val="0"/>
            <w:lang w:eastAsia="en-GB"/>
            <w14:ligatures w14:val="none"/>
          </w:rPr>
          <w:t>Delivery Channel</w:t>
        </w:r>
        <w:r>
          <w:rPr>
            <w:noProof/>
            <w:webHidden/>
          </w:rPr>
          <w:tab/>
        </w:r>
        <w:r>
          <w:rPr>
            <w:noProof/>
            <w:webHidden/>
          </w:rPr>
          <w:fldChar w:fldCharType="begin"/>
        </w:r>
        <w:r>
          <w:rPr>
            <w:noProof/>
            <w:webHidden/>
          </w:rPr>
          <w:instrText xml:space="preserve"> PAGEREF _Toc205035970 \h </w:instrText>
        </w:r>
        <w:r>
          <w:rPr>
            <w:noProof/>
            <w:webHidden/>
          </w:rPr>
        </w:r>
        <w:r>
          <w:rPr>
            <w:noProof/>
            <w:webHidden/>
          </w:rPr>
          <w:fldChar w:fldCharType="separate"/>
        </w:r>
        <w:r w:rsidR="00CD2AB8">
          <w:rPr>
            <w:noProof/>
            <w:webHidden/>
          </w:rPr>
          <w:t>9</w:t>
        </w:r>
        <w:r>
          <w:rPr>
            <w:noProof/>
            <w:webHidden/>
          </w:rPr>
          <w:fldChar w:fldCharType="end"/>
        </w:r>
      </w:hyperlink>
    </w:p>
    <w:p w14:paraId="0AF00628" w14:textId="1E7992C2" w:rsidR="00CE4808" w:rsidRDefault="00CE4808" w:rsidP="00CE4808">
      <w:pPr>
        <w:pStyle w:val="TOC2"/>
        <w:tabs>
          <w:tab w:val="right" w:leader="dot" w:pos="9016"/>
        </w:tabs>
        <w:spacing w:line="480" w:lineRule="auto"/>
        <w:rPr>
          <w:rFonts w:eastAsiaTheme="minorEastAsia"/>
          <w:smallCaps w:val="0"/>
          <w:noProof/>
          <w:sz w:val="24"/>
          <w:szCs w:val="24"/>
          <w:lang w:eastAsia="en-GB"/>
        </w:rPr>
      </w:pPr>
      <w:hyperlink w:anchor="_Toc205035971" w:history="1">
        <w:r w:rsidRPr="00875BCE">
          <w:rPr>
            <w:rStyle w:val="Hyperlink"/>
            <w:rFonts w:ascii="Times New Roman" w:eastAsia="Times New Roman" w:hAnsi="Times New Roman" w:cs="Times New Roman"/>
            <w:b/>
            <w:bCs/>
            <w:noProof/>
            <w:kern w:val="0"/>
            <w:lang w:eastAsia="en-GB"/>
            <w14:ligatures w14:val="none"/>
          </w:rPr>
          <w:t>Risk Assessment &amp; Matrix / Risk Scores</w:t>
        </w:r>
        <w:r>
          <w:rPr>
            <w:noProof/>
            <w:webHidden/>
          </w:rPr>
          <w:tab/>
        </w:r>
        <w:r>
          <w:rPr>
            <w:noProof/>
            <w:webHidden/>
          </w:rPr>
          <w:fldChar w:fldCharType="begin"/>
        </w:r>
        <w:r>
          <w:rPr>
            <w:noProof/>
            <w:webHidden/>
          </w:rPr>
          <w:instrText xml:space="preserve"> PAGEREF _Toc205035971 \h </w:instrText>
        </w:r>
        <w:r>
          <w:rPr>
            <w:noProof/>
            <w:webHidden/>
          </w:rPr>
        </w:r>
        <w:r>
          <w:rPr>
            <w:noProof/>
            <w:webHidden/>
          </w:rPr>
          <w:fldChar w:fldCharType="separate"/>
        </w:r>
        <w:r w:rsidR="00CD2AB8">
          <w:rPr>
            <w:noProof/>
            <w:webHidden/>
          </w:rPr>
          <w:t>9</w:t>
        </w:r>
        <w:r>
          <w:rPr>
            <w:noProof/>
            <w:webHidden/>
          </w:rPr>
          <w:fldChar w:fldCharType="end"/>
        </w:r>
      </w:hyperlink>
    </w:p>
    <w:p w14:paraId="3528F1D7" w14:textId="49E7C928" w:rsidR="00CE4808" w:rsidRDefault="00CE4808" w:rsidP="00CE4808">
      <w:pPr>
        <w:pStyle w:val="TOC2"/>
        <w:tabs>
          <w:tab w:val="right" w:leader="dot" w:pos="9016"/>
        </w:tabs>
        <w:spacing w:line="480" w:lineRule="auto"/>
        <w:rPr>
          <w:rFonts w:eastAsiaTheme="minorEastAsia"/>
          <w:smallCaps w:val="0"/>
          <w:noProof/>
          <w:sz w:val="24"/>
          <w:szCs w:val="24"/>
          <w:lang w:eastAsia="en-GB"/>
        </w:rPr>
      </w:pPr>
      <w:hyperlink w:anchor="_Toc205035972" w:history="1">
        <w:r w:rsidRPr="00875BCE">
          <w:rPr>
            <w:rStyle w:val="Hyperlink"/>
            <w:rFonts w:ascii="Open Sans" w:eastAsia="Times New Roman" w:hAnsi="Open Sans" w:cs="Open Sans"/>
            <w:b/>
            <w:bCs/>
            <w:noProof/>
            <w:kern w:val="0"/>
            <w:lang w:eastAsia="en-GB"/>
            <w14:ligatures w14:val="none"/>
          </w:rPr>
          <w:t>Embedding Segmentation into Risk Procedures</w:t>
        </w:r>
        <w:r>
          <w:rPr>
            <w:noProof/>
            <w:webHidden/>
          </w:rPr>
          <w:tab/>
        </w:r>
        <w:r>
          <w:rPr>
            <w:noProof/>
            <w:webHidden/>
          </w:rPr>
          <w:fldChar w:fldCharType="begin"/>
        </w:r>
        <w:r>
          <w:rPr>
            <w:noProof/>
            <w:webHidden/>
          </w:rPr>
          <w:instrText xml:space="preserve"> PAGEREF _Toc205035972 \h </w:instrText>
        </w:r>
        <w:r>
          <w:rPr>
            <w:noProof/>
            <w:webHidden/>
          </w:rPr>
        </w:r>
        <w:r>
          <w:rPr>
            <w:noProof/>
            <w:webHidden/>
          </w:rPr>
          <w:fldChar w:fldCharType="separate"/>
        </w:r>
        <w:r w:rsidR="00CD2AB8">
          <w:rPr>
            <w:noProof/>
            <w:webHidden/>
          </w:rPr>
          <w:t>10</w:t>
        </w:r>
        <w:r>
          <w:rPr>
            <w:noProof/>
            <w:webHidden/>
          </w:rPr>
          <w:fldChar w:fldCharType="end"/>
        </w:r>
      </w:hyperlink>
    </w:p>
    <w:p w14:paraId="3EF7A849" w14:textId="7ED29F9E" w:rsidR="002D1D84" w:rsidRPr="00176409" w:rsidRDefault="00176409" w:rsidP="00CE4808">
      <w:pPr>
        <w:spacing w:after="0" w:line="480" w:lineRule="auto"/>
        <w:rPr>
          <w:rFonts w:ascii="Open Sans" w:eastAsia="Times New Roman" w:hAnsi="Open Sans" w:cs="Open Sans"/>
          <w:b/>
          <w:bCs/>
          <w:kern w:val="0"/>
          <w:sz w:val="24"/>
          <w:szCs w:val="24"/>
          <w:lang w:eastAsia="en-GB"/>
          <w14:ligatures w14:val="none"/>
        </w:rPr>
      </w:pPr>
      <w:r w:rsidRPr="00176409">
        <w:rPr>
          <w:rFonts w:ascii="Open Sans" w:eastAsia="Times New Roman" w:hAnsi="Open Sans" w:cs="Open Sans"/>
          <w:b/>
          <w:bCs/>
          <w:kern w:val="0"/>
          <w:sz w:val="24"/>
          <w:szCs w:val="24"/>
          <w:lang w:eastAsia="en-GB"/>
          <w14:ligatures w14:val="none"/>
        </w:rPr>
        <w:fldChar w:fldCharType="end"/>
      </w:r>
    </w:p>
    <w:p w14:paraId="66CC9A13" w14:textId="77777777" w:rsidR="002D1D84" w:rsidRPr="00176409" w:rsidRDefault="002D1D84" w:rsidP="002D1D84">
      <w:pPr>
        <w:spacing w:before="100" w:beforeAutospacing="1" w:after="100" w:afterAutospacing="1" w:line="480" w:lineRule="auto"/>
        <w:outlineLvl w:val="1"/>
        <w:rPr>
          <w:rFonts w:ascii="Open Sans" w:eastAsia="Times New Roman" w:hAnsi="Open Sans" w:cs="Open Sans"/>
          <w:b/>
          <w:bCs/>
          <w:kern w:val="0"/>
          <w:sz w:val="24"/>
          <w:szCs w:val="24"/>
          <w:lang w:eastAsia="en-GB"/>
          <w14:ligatures w14:val="none"/>
        </w:rPr>
      </w:pPr>
    </w:p>
    <w:p w14:paraId="6F6915A4" w14:textId="77777777" w:rsidR="002D1D84" w:rsidRPr="00176409" w:rsidRDefault="002D1D84" w:rsidP="00602920">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4197D194" w14:textId="77777777" w:rsidR="002D1D84" w:rsidRPr="00176409" w:rsidRDefault="002D1D84" w:rsidP="00602920">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30A3B63F" w14:textId="77777777" w:rsidR="002D1D84" w:rsidRPr="00176409" w:rsidRDefault="002D1D84" w:rsidP="00602920">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73E93898" w14:textId="41999104" w:rsidR="00176409" w:rsidRPr="00176409" w:rsidRDefault="00176409" w:rsidP="00176409">
      <w:pPr>
        <w:spacing w:after="0" w:line="240" w:lineRule="auto"/>
        <w:rPr>
          <w:rFonts w:ascii="Open Sans" w:eastAsia="Times New Roman" w:hAnsi="Open Sans" w:cs="Open Sans"/>
          <w:b/>
          <w:bCs/>
          <w:kern w:val="0"/>
          <w:sz w:val="24"/>
          <w:szCs w:val="24"/>
          <w:lang w:eastAsia="en-GB"/>
          <w14:ligatures w14:val="none"/>
        </w:rPr>
      </w:pPr>
    </w:p>
    <w:p w14:paraId="7BE98EBB" w14:textId="77777777" w:rsidR="00176409" w:rsidRPr="00176409" w:rsidRDefault="00176409" w:rsidP="00176409">
      <w:pPr>
        <w:spacing w:after="0" w:line="240" w:lineRule="auto"/>
        <w:rPr>
          <w:rFonts w:ascii="Open Sans" w:eastAsia="Times New Roman" w:hAnsi="Open Sans" w:cs="Open Sans"/>
          <w:b/>
          <w:bCs/>
          <w:kern w:val="0"/>
          <w:sz w:val="24"/>
          <w:szCs w:val="24"/>
          <w:lang w:eastAsia="en-GB"/>
          <w14:ligatures w14:val="none"/>
        </w:rPr>
      </w:pPr>
    </w:p>
    <w:p w14:paraId="36B56343" w14:textId="77777777" w:rsidR="00176409" w:rsidRPr="00176409" w:rsidRDefault="00176409" w:rsidP="00176409">
      <w:pPr>
        <w:spacing w:after="0" w:line="240" w:lineRule="auto"/>
        <w:rPr>
          <w:rFonts w:ascii="Open Sans" w:eastAsia="Times New Roman" w:hAnsi="Open Sans" w:cs="Open Sans"/>
          <w:b/>
          <w:bCs/>
          <w:kern w:val="0"/>
          <w:sz w:val="24"/>
          <w:szCs w:val="24"/>
          <w:lang w:eastAsia="en-GB"/>
          <w14:ligatures w14:val="none"/>
        </w:rPr>
      </w:pPr>
    </w:p>
    <w:p w14:paraId="10460D59" w14:textId="77777777" w:rsidR="00176409" w:rsidRPr="00176409" w:rsidRDefault="00176409" w:rsidP="00176409">
      <w:pPr>
        <w:spacing w:after="0" w:line="240" w:lineRule="auto"/>
        <w:rPr>
          <w:rFonts w:ascii="Open Sans" w:eastAsia="Times New Roman" w:hAnsi="Open Sans" w:cs="Open Sans"/>
          <w:b/>
          <w:bCs/>
          <w:kern w:val="0"/>
          <w:sz w:val="24"/>
          <w:szCs w:val="24"/>
          <w:lang w:eastAsia="en-GB"/>
          <w14:ligatures w14:val="none"/>
        </w:rPr>
      </w:pPr>
    </w:p>
    <w:p w14:paraId="039BA4D9" w14:textId="77777777" w:rsidR="00176409" w:rsidRPr="00176409" w:rsidRDefault="00176409" w:rsidP="00176409">
      <w:pPr>
        <w:spacing w:after="0" w:line="240" w:lineRule="auto"/>
        <w:rPr>
          <w:rFonts w:ascii="Open Sans" w:eastAsia="Times New Roman" w:hAnsi="Open Sans" w:cs="Open Sans"/>
          <w:b/>
          <w:bCs/>
          <w:kern w:val="0"/>
          <w:sz w:val="24"/>
          <w:szCs w:val="24"/>
          <w:lang w:eastAsia="en-GB"/>
          <w14:ligatures w14:val="none"/>
        </w:rPr>
      </w:pPr>
    </w:p>
    <w:p w14:paraId="4A1AE480" w14:textId="77777777" w:rsidR="00176409" w:rsidRPr="00176409" w:rsidRDefault="00176409" w:rsidP="00176409">
      <w:pPr>
        <w:spacing w:after="0" w:line="240" w:lineRule="auto"/>
        <w:rPr>
          <w:rFonts w:ascii="Open Sans" w:eastAsia="Times New Roman" w:hAnsi="Open Sans" w:cs="Open Sans"/>
          <w:b/>
          <w:bCs/>
          <w:kern w:val="0"/>
          <w:sz w:val="24"/>
          <w:szCs w:val="24"/>
          <w:lang w:eastAsia="en-GB"/>
          <w14:ligatures w14:val="none"/>
        </w:rPr>
      </w:pPr>
    </w:p>
    <w:p w14:paraId="7C6CBE47" w14:textId="77777777" w:rsidR="00176409" w:rsidRP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552D2531" w14:textId="77777777" w:rsidR="00176409" w:rsidRPr="00176409" w:rsidRDefault="00176409" w:rsidP="00176409">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0" w:name="_Toc205035959"/>
      <w:r w:rsidRPr="00176409">
        <w:rPr>
          <w:rFonts w:ascii="Open Sans" w:eastAsia="Times New Roman" w:hAnsi="Open Sans" w:cs="Open Sans"/>
          <w:b/>
          <w:bCs/>
          <w:kern w:val="0"/>
          <w:sz w:val="24"/>
          <w:szCs w:val="24"/>
          <w:lang w:eastAsia="en-GB"/>
          <w14:ligatures w14:val="none"/>
        </w:rPr>
        <w:lastRenderedPageBreak/>
        <w:t>1. Introduction to Risk Management Framework</w:t>
      </w:r>
      <w:bookmarkEnd w:id="0"/>
    </w:p>
    <w:p w14:paraId="3FF899F3" w14:textId="77777777" w:rsidR="00176409" w:rsidRPr="00176409" w:rsidRDefault="00176409" w:rsidP="00176409">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FYM Compliance Limited operates a holistic Risk Management Framework that embeds financial, operational, and regulatory risks into a unified, dynamic process. At its core lies a board-approved Risk Appetite Statement, which sets quantitative and qualitative limits—such as average outstanding e-money below €5 million and unrelated monthly payment volumes under €3 million—to ensure we never exceed our SEMI thresholds. Governance is provided through the Three Lines of Defence model: (1) front-line business units owning and controlling risks day-to-day; (2) second-line Compliance and Risk functions providing oversight, AML/CTF policy stewardship and risk assessment; and (3) an independent Internal Audit testing the design and operational effectiveness of controls at least annually. Our Enterprise Risk Register, maintained by the Risk team, captures every material risk with assigned ownership, mitigating controls, key risk indicators (KRIs) and review dates, ensuring risks are continuously monitored and escalated where thresholds are approached.</w:t>
      </w:r>
    </w:p>
    <w:p w14:paraId="3F36CE41" w14:textId="48E86735" w:rsidR="00176409" w:rsidRPr="00176409" w:rsidRDefault="00176409" w:rsidP="00176409">
      <w:pPr>
        <w:spacing w:after="0" w:line="240" w:lineRule="auto"/>
        <w:jc w:val="both"/>
        <w:rPr>
          <w:rFonts w:ascii="Open Sans" w:eastAsia="Times New Roman" w:hAnsi="Open Sans" w:cs="Open Sans"/>
          <w:kern w:val="0"/>
          <w:sz w:val="24"/>
          <w:szCs w:val="24"/>
          <w:lang w:eastAsia="en-GB"/>
          <w14:ligatures w14:val="none"/>
        </w:rPr>
      </w:pPr>
    </w:p>
    <w:p w14:paraId="34935853" w14:textId="77777777" w:rsidR="00176409" w:rsidRPr="00176409" w:rsidRDefault="00176409" w:rsidP="00176409">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1" w:name="_Toc205035960"/>
      <w:r w:rsidRPr="00176409">
        <w:rPr>
          <w:rFonts w:ascii="Open Sans" w:eastAsia="Times New Roman" w:hAnsi="Open Sans" w:cs="Open Sans"/>
          <w:b/>
          <w:bCs/>
          <w:kern w:val="0"/>
          <w:sz w:val="24"/>
          <w:szCs w:val="24"/>
          <w:lang w:eastAsia="en-GB"/>
          <w14:ligatures w14:val="none"/>
        </w:rPr>
        <w:t>2. Settlement Risk</w:t>
      </w:r>
      <w:bookmarkEnd w:id="1"/>
    </w:p>
    <w:p w14:paraId="13B03149" w14:textId="3AE9953D" w:rsidR="00176409" w:rsidRPr="00176409" w:rsidRDefault="00176409" w:rsidP="00176409">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 xml:space="preserve">Settlement Risk arises when inbound or outbound payment legs fail to reconcile—due to network outages, correspondent-bank failures or system errors—jeopardizing the integrity of customer funds. FYM mitigates this through CASS-compliant safeguarding of all e-money float in segregated accounts at an FCA-approved bank. Daily reconciliation procedures compare ledger balances against bank statements within two hours; any exception automatically escalates to the MLRO. We employ dual-sided confirmation for SWIFT and ISO 20022 payments to ensure both debit and credit </w:t>
      </w:r>
      <w:r w:rsidR="00CE4808" w:rsidRPr="00176409">
        <w:rPr>
          <w:rFonts w:ascii="Open Sans" w:eastAsia="Times New Roman" w:hAnsi="Open Sans" w:cs="Open Sans"/>
          <w:kern w:val="0"/>
          <w:sz w:val="24"/>
          <w:szCs w:val="24"/>
          <w:lang w:eastAsia="en-GB"/>
          <w14:ligatures w14:val="none"/>
        </w:rPr>
        <w:t>advice</w:t>
      </w:r>
      <w:r w:rsidRPr="00176409">
        <w:rPr>
          <w:rFonts w:ascii="Open Sans" w:eastAsia="Times New Roman" w:hAnsi="Open Sans" w:cs="Open Sans"/>
          <w:kern w:val="0"/>
          <w:sz w:val="24"/>
          <w:szCs w:val="24"/>
          <w:lang w:eastAsia="en-GB"/>
          <w14:ligatures w14:val="none"/>
        </w:rPr>
        <w:t xml:space="preserve"> are received before marking transactions as settled. A formal fallback arrangement with a secondary settlement bank, tested annually through our Business Continuity Plan, guarantees continuity should the primary channel falter. These measures, coupled with real-time reconciliation dashboards, </w:t>
      </w:r>
      <w:r w:rsidR="00CE4808" w:rsidRPr="00176409">
        <w:rPr>
          <w:rFonts w:ascii="Open Sans" w:eastAsia="Times New Roman" w:hAnsi="Open Sans" w:cs="Open Sans"/>
          <w:kern w:val="0"/>
          <w:sz w:val="24"/>
          <w:szCs w:val="24"/>
          <w:lang w:eastAsia="en-GB"/>
          <w14:ligatures w14:val="none"/>
        </w:rPr>
        <w:t>always ensure the safety and availability of client funds</w:t>
      </w:r>
      <w:r w:rsidRPr="00176409">
        <w:rPr>
          <w:rFonts w:ascii="Open Sans" w:eastAsia="Times New Roman" w:hAnsi="Open Sans" w:cs="Open Sans"/>
          <w:kern w:val="0"/>
          <w:sz w:val="24"/>
          <w:szCs w:val="24"/>
          <w:lang w:eastAsia="en-GB"/>
          <w14:ligatures w14:val="none"/>
        </w:rPr>
        <w:t>.</w:t>
      </w:r>
    </w:p>
    <w:p w14:paraId="695F7BC8" w14:textId="16CC2A2F" w:rsid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5646F91A" w14:textId="77777777" w:rsid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57EA5C9F" w14:textId="77777777" w:rsid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7C334BEE" w14:textId="77777777" w:rsid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43DEC6D0" w14:textId="77777777" w:rsid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202180A3" w14:textId="77777777" w:rsid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30CF7C16" w14:textId="77777777" w:rsid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5CE0777E" w14:textId="77777777" w:rsidR="00176409" w:rsidRP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0F1CA5B0" w14:textId="77777777" w:rsidR="00176409" w:rsidRPr="00176409" w:rsidRDefault="00176409" w:rsidP="00176409">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2" w:name="_Toc205035961"/>
      <w:r w:rsidRPr="00176409">
        <w:rPr>
          <w:rFonts w:ascii="Open Sans" w:eastAsia="Times New Roman" w:hAnsi="Open Sans" w:cs="Open Sans"/>
          <w:b/>
          <w:bCs/>
          <w:kern w:val="0"/>
          <w:sz w:val="24"/>
          <w:szCs w:val="24"/>
          <w:lang w:eastAsia="en-GB"/>
          <w14:ligatures w14:val="none"/>
        </w:rPr>
        <w:lastRenderedPageBreak/>
        <w:t>3. Operational Risk</w:t>
      </w:r>
      <w:bookmarkEnd w:id="2"/>
    </w:p>
    <w:p w14:paraId="590D1858" w14:textId="77777777" w:rsidR="00176409" w:rsidRPr="00176409" w:rsidRDefault="00176409" w:rsidP="00176409">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Operational Risk encompasses failures of processes, systems or human error across our digital and agent networks. To manage this, FYM conducts quarterly Risk and Control Self-Assessments (RCSAs) mapping critical processes—onboarding, transaction monitoring, disbursements—to control objectives and identifying residual risks. Our Change Management protocol requires every IT or procedural change to undergo impact assessment on AML/CTF, IT security and Business Continuity, with approvals by the MLRO and Head of IT. A 24/7 Incident Management capability monitors platform health, triggering automated alerts to the IT Director and MLRO upon SLA breaches. We enforce strict Segregation of Duties, ensuring that transaction processing, compliance review and reconciliation functions are separated across teams, reducing the likelihood of error or fraud. All incidents are logged in an Incident Register, with root-cause analyses and remediation tracked to closure.</w:t>
      </w:r>
    </w:p>
    <w:p w14:paraId="666BC5C7" w14:textId="29AAEBC9" w:rsidR="00176409" w:rsidRPr="00176409" w:rsidRDefault="00176409" w:rsidP="00176409">
      <w:pPr>
        <w:spacing w:after="0" w:line="240" w:lineRule="auto"/>
        <w:jc w:val="both"/>
        <w:rPr>
          <w:rFonts w:ascii="Open Sans" w:eastAsia="Times New Roman" w:hAnsi="Open Sans" w:cs="Open Sans"/>
          <w:kern w:val="0"/>
          <w:sz w:val="24"/>
          <w:szCs w:val="24"/>
          <w:lang w:eastAsia="en-GB"/>
          <w14:ligatures w14:val="none"/>
        </w:rPr>
      </w:pPr>
    </w:p>
    <w:p w14:paraId="4F8F4D04" w14:textId="77777777" w:rsidR="00176409" w:rsidRPr="00176409" w:rsidRDefault="00176409" w:rsidP="00176409">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3" w:name="_Toc205035962"/>
      <w:r w:rsidRPr="00176409">
        <w:rPr>
          <w:rFonts w:ascii="Open Sans" w:eastAsia="Times New Roman" w:hAnsi="Open Sans" w:cs="Open Sans"/>
          <w:b/>
          <w:bCs/>
          <w:kern w:val="0"/>
          <w:sz w:val="24"/>
          <w:szCs w:val="24"/>
          <w:lang w:eastAsia="en-GB"/>
          <w14:ligatures w14:val="none"/>
        </w:rPr>
        <w:t>4. Counterparty Risk</w:t>
      </w:r>
      <w:bookmarkEnd w:id="3"/>
    </w:p>
    <w:p w14:paraId="478A779B" w14:textId="77777777" w:rsidR="00176409" w:rsidRPr="00176409" w:rsidRDefault="00176409" w:rsidP="001E670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Counterparty Risk covers credit and performance failures by banks, agents, cloud vendors and technology partners. Prior to engagement, everything from Tier 1 banks to agent kiosks undergoes enhanced initial due diligence, including KYC/AML reviews, financial strength checks, and service-level agreement (SLA) assessments. We set exposure limits—no more than £5 million of client funds per bank or agent—monitored daily. Annual re-certification of correspondent-bank credit ratings and quarterly health checks with top-tier partners ensure continuing viability. Where appropriate, counter-parties post indemnity bonds or maintain escrow for float liabilities. This framework gives FYM both transparency and recourse in the event a partner underperforms or fails.</w:t>
      </w:r>
    </w:p>
    <w:p w14:paraId="261B5764" w14:textId="1D2445A7" w:rsidR="00176409" w:rsidRP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01F46841" w14:textId="77777777" w:rsidR="00176409" w:rsidRPr="00176409" w:rsidRDefault="00176409" w:rsidP="00176409">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4" w:name="_Toc205035963"/>
      <w:r w:rsidRPr="00176409">
        <w:rPr>
          <w:rFonts w:ascii="Open Sans" w:eastAsia="Times New Roman" w:hAnsi="Open Sans" w:cs="Open Sans"/>
          <w:b/>
          <w:bCs/>
          <w:kern w:val="0"/>
          <w:sz w:val="24"/>
          <w:szCs w:val="24"/>
          <w:lang w:eastAsia="en-GB"/>
          <w14:ligatures w14:val="none"/>
        </w:rPr>
        <w:t>5. Liquidity Risk</w:t>
      </w:r>
      <w:bookmarkEnd w:id="4"/>
    </w:p>
    <w:p w14:paraId="18503FAF" w14:textId="125954E1" w:rsidR="00176409" w:rsidRPr="00176409" w:rsidRDefault="00176409" w:rsidP="001E670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FYM’s Liquidity Risk procedures ensure we can meet customer redemption and settlement obligations even under stress. We maintain a liquidity buffer of at least 10 percent of outstanding e-money on deposit with high-quality liquid assets (e.g. overnight bank deposits). A weekly cash-flow forecast, comparing projected top-ups against redemptions, allows the Treasury team to anticipate strain. Monthly stress tests simulate sudden redemptions of 25 percent, 50 percent and 75 percent of wallet balances to verify RTO and our uncommitted credit line (£500 k overdraft) suffices. Redemption controls—daily and per-transaction limits—</w:t>
      </w:r>
      <w:r w:rsidR="00CE4808" w:rsidRPr="00176409">
        <w:rPr>
          <w:rFonts w:ascii="Open Sans" w:eastAsia="Times New Roman" w:hAnsi="Open Sans" w:cs="Open Sans"/>
          <w:kern w:val="0"/>
          <w:sz w:val="24"/>
          <w:szCs w:val="24"/>
          <w:lang w:eastAsia="en-GB"/>
          <w14:ligatures w14:val="none"/>
        </w:rPr>
        <w:lastRenderedPageBreak/>
        <w:t>smooth</w:t>
      </w:r>
      <w:r w:rsidRPr="00176409">
        <w:rPr>
          <w:rFonts w:ascii="Open Sans" w:eastAsia="Times New Roman" w:hAnsi="Open Sans" w:cs="Open Sans"/>
          <w:kern w:val="0"/>
          <w:sz w:val="24"/>
          <w:szCs w:val="24"/>
          <w:lang w:eastAsia="en-GB"/>
          <w14:ligatures w14:val="none"/>
        </w:rPr>
        <w:t xml:space="preserve"> out spikes, while automated alerts notify senior management if the buffer ratio falls below target.</w:t>
      </w:r>
    </w:p>
    <w:p w14:paraId="1A54D851" w14:textId="3D60E8B9" w:rsidR="00176409" w:rsidRPr="00176409" w:rsidRDefault="00176409" w:rsidP="00176409">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2CD6D14F" w14:textId="77777777" w:rsidR="00C54A09" w:rsidRPr="00C54A09" w:rsidRDefault="00C54A09" w:rsidP="00C54A09">
      <w:pPr>
        <w:spacing w:after="0" w:line="240" w:lineRule="auto"/>
        <w:rPr>
          <w:rFonts w:ascii="Open Sans" w:eastAsia="Times New Roman" w:hAnsi="Open Sans" w:cs="Open Sans"/>
          <w:kern w:val="0"/>
          <w:sz w:val="24"/>
          <w:szCs w:val="24"/>
          <w:lang w:eastAsia="en-GB"/>
          <w14:ligatures w14:val="none"/>
        </w:rPr>
      </w:pPr>
      <w:r w:rsidRPr="00C54A09">
        <w:rPr>
          <w:rFonts w:ascii="Open Sans" w:eastAsia="Times New Roman" w:hAnsi="Open Sans" w:cs="Open Sans"/>
          <w:b/>
          <w:bCs/>
          <w:kern w:val="0"/>
          <w:sz w:val="24"/>
          <w:szCs w:val="24"/>
          <w:lang w:eastAsia="en-GB"/>
          <w14:ligatures w14:val="none"/>
        </w:rPr>
        <w:t>6. Market Risk</w:t>
      </w:r>
    </w:p>
    <w:p w14:paraId="482895BF" w14:textId="77777777" w:rsidR="00C54A09" w:rsidRPr="00C54A09" w:rsidRDefault="00C54A09" w:rsidP="00C54A09">
      <w:pPr>
        <w:spacing w:after="0" w:line="240" w:lineRule="auto"/>
        <w:jc w:val="both"/>
        <w:rPr>
          <w:rFonts w:ascii="Open Sans" w:eastAsia="Times New Roman" w:hAnsi="Open Sans" w:cs="Open Sans"/>
          <w:kern w:val="0"/>
          <w:sz w:val="24"/>
          <w:szCs w:val="24"/>
          <w:lang w:eastAsia="en-GB"/>
          <w14:ligatures w14:val="none"/>
        </w:rPr>
      </w:pPr>
      <w:r w:rsidRPr="00C54A09">
        <w:rPr>
          <w:rFonts w:ascii="Open Sans" w:eastAsia="Times New Roman" w:hAnsi="Open Sans" w:cs="Open Sans"/>
          <w:kern w:val="0"/>
          <w:sz w:val="24"/>
          <w:szCs w:val="24"/>
          <w:lang w:eastAsia="en-GB"/>
          <w14:ligatures w14:val="none"/>
        </w:rPr>
        <w:t>FYM Compliance Limited recognises that, as an authorised Small Electronic Money Institution, it must not deploy or trade client funds for proprietary gain. Our approach to market risk is therefore strictly limited to managing the narrow exposure inherent in providing multi-currency e-wallet services and FX conversion to clients—not to generating trading profits from client float.</w:t>
      </w:r>
    </w:p>
    <w:p w14:paraId="58059641" w14:textId="77777777" w:rsidR="00C54A09" w:rsidRPr="00C54A09" w:rsidRDefault="00C54A09" w:rsidP="00C54A09">
      <w:pPr>
        <w:spacing w:after="0" w:line="240" w:lineRule="auto"/>
        <w:jc w:val="both"/>
        <w:rPr>
          <w:rFonts w:ascii="Open Sans" w:eastAsia="Times New Roman" w:hAnsi="Open Sans" w:cs="Open Sans"/>
          <w:kern w:val="0"/>
          <w:sz w:val="24"/>
          <w:szCs w:val="24"/>
          <w:lang w:eastAsia="en-GB"/>
          <w14:ligatures w14:val="none"/>
        </w:rPr>
      </w:pPr>
      <w:r w:rsidRPr="00C54A09">
        <w:rPr>
          <w:rFonts w:ascii="Open Sans" w:eastAsia="Times New Roman" w:hAnsi="Open Sans" w:cs="Open Sans"/>
          <w:kern w:val="0"/>
          <w:sz w:val="24"/>
          <w:szCs w:val="24"/>
          <w:lang w:eastAsia="en-GB"/>
          <w14:ligatures w14:val="none"/>
        </w:rPr>
        <w:t>At all times, FYM’s model ensures absolute segregation between client monies and any operational or reserve funds. Client e-money balances are safeguarded in full under CASS-compliant arrangements and are never invested or used for speculative purposes.</w:t>
      </w:r>
    </w:p>
    <w:p w14:paraId="50F9A42E" w14:textId="77777777" w:rsidR="00C54A09" w:rsidRPr="00C54A09" w:rsidRDefault="00C54A09" w:rsidP="00C54A09">
      <w:pPr>
        <w:spacing w:after="0" w:line="240" w:lineRule="auto"/>
        <w:rPr>
          <w:rFonts w:ascii="Open Sans" w:eastAsia="Times New Roman" w:hAnsi="Open Sans" w:cs="Open Sans"/>
          <w:kern w:val="0"/>
          <w:sz w:val="24"/>
          <w:szCs w:val="24"/>
          <w:lang w:eastAsia="en-GB"/>
          <w14:ligatures w14:val="none"/>
        </w:rPr>
      </w:pPr>
    </w:p>
    <w:p w14:paraId="69621B98" w14:textId="77777777" w:rsidR="00C54A09" w:rsidRPr="00C54A09" w:rsidRDefault="00C54A09" w:rsidP="00C54A09">
      <w:pPr>
        <w:spacing w:after="0" w:line="240" w:lineRule="auto"/>
        <w:rPr>
          <w:rFonts w:ascii="Open Sans" w:eastAsia="Times New Roman" w:hAnsi="Open Sans" w:cs="Open Sans"/>
          <w:b/>
          <w:bCs/>
          <w:kern w:val="0"/>
          <w:sz w:val="24"/>
          <w:szCs w:val="24"/>
          <w:lang w:eastAsia="en-GB"/>
          <w14:ligatures w14:val="none"/>
        </w:rPr>
      </w:pPr>
      <w:r w:rsidRPr="00C54A09">
        <w:rPr>
          <w:rFonts w:ascii="Open Sans" w:eastAsia="Times New Roman" w:hAnsi="Open Sans" w:cs="Open Sans"/>
          <w:b/>
          <w:bCs/>
          <w:kern w:val="0"/>
          <w:sz w:val="24"/>
          <w:szCs w:val="24"/>
          <w:lang w:eastAsia="en-GB"/>
          <w14:ligatures w14:val="none"/>
        </w:rPr>
        <w:t>FX Spread Management</w:t>
      </w:r>
    </w:p>
    <w:p w14:paraId="73C98A34" w14:textId="77777777" w:rsidR="00C54A09" w:rsidRPr="00C54A09" w:rsidRDefault="00C54A09" w:rsidP="00C54A09">
      <w:pPr>
        <w:spacing w:after="0" w:line="240" w:lineRule="auto"/>
        <w:jc w:val="both"/>
        <w:rPr>
          <w:rFonts w:ascii="Open Sans" w:eastAsia="Times New Roman" w:hAnsi="Open Sans" w:cs="Open Sans"/>
          <w:kern w:val="0"/>
          <w:sz w:val="24"/>
          <w:szCs w:val="24"/>
          <w:lang w:eastAsia="en-GB"/>
          <w14:ligatures w14:val="none"/>
        </w:rPr>
      </w:pPr>
      <w:r w:rsidRPr="00C54A09">
        <w:rPr>
          <w:rFonts w:ascii="Open Sans" w:eastAsia="Times New Roman" w:hAnsi="Open Sans" w:cs="Open Sans"/>
          <w:kern w:val="0"/>
          <w:sz w:val="24"/>
          <w:szCs w:val="24"/>
          <w:lang w:eastAsia="en-GB"/>
          <w14:ligatures w14:val="none"/>
        </w:rPr>
        <w:t xml:space="preserve">When customers convert from one currency to another, FYM applies a transparent FX spread—capped at 1.5% per transaction—over the interbank mid-market rate. We obtain firm, executable mid-market rates from two reputable liquidity providers </w:t>
      </w:r>
      <w:proofErr w:type="gramStart"/>
      <w:r w:rsidRPr="00C54A09">
        <w:rPr>
          <w:rFonts w:ascii="Open Sans" w:eastAsia="Times New Roman" w:hAnsi="Open Sans" w:cs="Open Sans"/>
          <w:kern w:val="0"/>
          <w:sz w:val="24"/>
          <w:szCs w:val="24"/>
          <w:lang w:eastAsia="en-GB"/>
          <w14:ligatures w14:val="none"/>
        </w:rPr>
        <w:t>at the moment</w:t>
      </w:r>
      <w:proofErr w:type="gramEnd"/>
      <w:r w:rsidRPr="00C54A09">
        <w:rPr>
          <w:rFonts w:ascii="Open Sans" w:eastAsia="Times New Roman" w:hAnsi="Open Sans" w:cs="Open Sans"/>
          <w:kern w:val="0"/>
          <w:sz w:val="24"/>
          <w:szCs w:val="24"/>
          <w:lang w:eastAsia="en-GB"/>
          <w14:ligatures w14:val="none"/>
        </w:rPr>
        <w:t xml:space="preserve"> of customer request, ensuring the rate reflects current market conditions. The small spread charged covers FYM’s operational costs for accessing liquidity, including platform fees and correspondent-bank charges.</w:t>
      </w:r>
    </w:p>
    <w:p w14:paraId="1ED6CE8B" w14:textId="77777777" w:rsidR="00C54A09" w:rsidRPr="00C54A09" w:rsidRDefault="00C54A09" w:rsidP="00C54A09">
      <w:pPr>
        <w:spacing w:after="0" w:line="240" w:lineRule="auto"/>
        <w:rPr>
          <w:rFonts w:ascii="Open Sans" w:eastAsia="Times New Roman" w:hAnsi="Open Sans" w:cs="Open Sans"/>
          <w:kern w:val="0"/>
          <w:sz w:val="24"/>
          <w:szCs w:val="24"/>
          <w:lang w:eastAsia="en-GB"/>
          <w14:ligatures w14:val="none"/>
        </w:rPr>
      </w:pPr>
    </w:p>
    <w:p w14:paraId="15C7F3FD" w14:textId="77777777" w:rsidR="00C54A09" w:rsidRPr="00C54A09" w:rsidRDefault="00C54A09" w:rsidP="00C54A09">
      <w:pPr>
        <w:spacing w:after="0" w:line="240" w:lineRule="auto"/>
        <w:rPr>
          <w:rFonts w:ascii="Open Sans" w:eastAsia="Times New Roman" w:hAnsi="Open Sans" w:cs="Open Sans"/>
          <w:b/>
          <w:bCs/>
          <w:kern w:val="0"/>
          <w:sz w:val="24"/>
          <w:szCs w:val="24"/>
          <w:lang w:eastAsia="en-GB"/>
          <w14:ligatures w14:val="none"/>
        </w:rPr>
      </w:pPr>
      <w:r w:rsidRPr="00C54A09">
        <w:rPr>
          <w:rFonts w:ascii="Open Sans" w:eastAsia="Times New Roman" w:hAnsi="Open Sans" w:cs="Open Sans"/>
          <w:b/>
          <w:bCs/>
          <w:kern w:val="0"/>
          <w:sz w:val="24"/>
          <w:szCs w:val="24"/>
          <w:lang w:eastAsia="en-GB"/>
          <w14:ligatures w14:val="none"/>
        </w:rPr>
        <w:t>No Proprietary Positions</w:t>
      </w:r>
    </w:p>
    <w:p w14:paraId="32E7F792" w14:textId="77777777" w:rsidR="00C54A09" w:rsidRPr="00C54A09" w:rsidRDefault="00C54A09" w:rsidP="00C54A09">
      <w:pPr>
        <w:spacing w:after="0" w:line="240" w:lineRule="auto"/>
        <w:jc w:val="both"/>
        <w:rPr>
          <w:rFonts w:ascii="Open Sans" w:eastAsia="Times New Roman" w:hAnsi="Open Sans" w:cs="Open Sans"/>
          <w:kern w:val="0"/>
          <w:sz w:val="24"/>
          <w:szCs w:val="24"/>
          <w:lang w:eastAsia="en-GB"/>
          <w14:ligatures w14:val="none"/>
        </w:rPr>
      </w:pPr>
      <w:r w:rsidRPr="00C54A09">
        <w:rPr>
          <w:rFonts w:ascii="Open Sans" w:eastAsia="Times New Roman" w:hAnsi="Open Sans" w:cs="Open Sans"/>
          <w:kern w:val="0"/>
          <w:sz w:val="24"/>
          <w:szCs w:val="24"/>
          <w:lang w:eastAsia="en-GB"/>
          <w14:ligatures w14:val="none"/>
        </w:rPr>
        <w:t xml:space="preserve">FYM explicitly forbids any proprietary foreign-exchange trading. We do not hold open FX positions overnight. Each customer conversion is executed on a back-to-back basis: as soon as a customer’s FX transaction is authorised, an identical and simultaneous FX swap is arranged with our regulated correspondent bank or liquidity provider. This “matched principal” process means FYM’s net FX position </w:t>
      </w:r>
      <w:proofErr w:type="gramStart"/>
      <w:r w:rsidRPr="00C54A09">
        <w:rPr>
          <w:rFonts w:ascii="Open Sans" w:eastAsia="Times New Roman" w:hAnsi="Open Sans" w:cs="Open Sans"/>
          <w:kern w:val="0"/>
          <w:sz w:val="24"/>
          <w:szCs w:val="24"/>
          <w:lang w:eastAsia="en-GB"/>
          <w14:ligatures w14:val="none"/>
        </w:rPr>
        <w:t>remains at zero at all times</w:t>
      </w:r>
      <w:proofErr w:type="gramEnd"/>
      <w:r w:rsidRPr="00C54A09">
        <w:rPr>
          <w:rFonts w:ascii="Open Sans" w:eastAsia="Times New Roman" w:hAnsi="Open Sans" w:cs="Open Sans"/>
          <w:kern w:val="0"/>
          <w:sz w:val="24"/>
          <w:szCs w:val="24"/>
          <w:lang w:eastAsia="en-GB"/>
          <w14:ligatures w14:val="none"/>
        </w:rPr>
        <w:t>, eliminating market-making or speculative risk.</w:t>
      </w:r>
    </w:p>
    <w:p w14:paraId="6F86C6DC" w14:textId="77777777" w:rsidR="00C54A09" w:rsidRPr="00C54A09" w:rsidRDefault="00C54A09" w:rsidP="00C54A09">
      <w:pPr>
        <w:spacing w:after="0" w:line="240" w:lineRule="auto"/>
        <w:rPr>
          <w:rFonts w:ascii="Open Sans" w:eastAsia="Times New Roman" w:hAnsi="Open Sans" w:cs="Open Sans"/>
          <w:kern w:val="0"/>
          <w:sz w:val="24"/>
          <w:szCs w:val="24"/>
          <w:lang w:eastAsia="en-GB"/>
          <w14:ligatures w14:val="none"/>
        </w:rPr>
      </w:pPr>
    </w:p>
    <w:p w14:paraId="08115A88" w14:textId="77777777" w:rsidR="00C54A09" w:rsidRPr="00C54A09" w:rsidRDefault="00C54A09" w:rsidP="00C54A09">
      <w:pPr>
        <w:spacing w:after="0" w:line="240" w:lineRule="auto"/>
        <w:rPr>
          <w:rFonts w:ascii="Open Sans" w:eastAsia="Times New Roman" w:hAnsi="Open Sans" w:cs="Open Sans"/>
          <w:b/>
          <w:bCs/>
          <w:kern w:val="0"/>
          <w:sz w:val="24"/>
          <w:szCs w:val="24"/>
          <w:lang w:eastAsia="en-GB"/>
          <w14:ligatures w14:val="none"/>
        </w:rPr>
      </w:pPr>
      <w:r w:rsidRPr="00C54A09">
        <w:rPr>
          <w:rFonts w:ascii="Open Sans" w:eastAsia="Times New Roman" w:hAnsi="Open Sans" w:cs="Open Sans"/>
          <w:b/>
          <w:bCs/>
          <w:kern w:val="0"/>
          <w:sz w:val="24"/>
          <w:szCs w:val="24"/>
          <w:lang w:eastAsia="en-GB"/>
          <w14:ligatures w14:val="none"/>
        </w:rPr>
        <w:t>Interest Rate Treatment</w:t>
      </w:r>
    </w:p>
    <w:p w14:paraId="1CCAD99E" w14:textId="77777777" w:rsidR="00C54A09" w:rsidRDefault="00C54A09" w:rsidP="00C54A09">
      <w:pPr>
        <w:spacing w:after="0" w:line="240" w:lineRule="auto"/>
        <w:jc w:val="both"/>
        <w:rPr>
          <w:rFonts w:ascii="Open Sans" w:eastAsia="Times New Roman" w:hAnsi="Open Sans" w:cs="Open Sans"/>
          <w:kern w:val="0"/>
          <w:sz w:val="24"/>
          <w:szCs w:val="24"/>
          <w:lang w:eastAsia="en-GB"/>
          <w14:ligatures w14:val="none"/>
        </w:rPr>
      </w:pPr>
      <w:r w:rsidRPr="00C54A09">
        <w:rPr>
          <w:rFonts w:ascii="Open Sans" w:eastAsia="Times New Roman" w:hAnsi="Open Sans" w:cs="Open Sans"/>
          <w:kern w:val="0"/>
          <w:sz w:val="24"/>
          <w:szCs w:val="24"/>
          <w:lang w:eastAsia="en-GB"/>
          <w14:ligatures w14:val="none"/>
        </w:rPr>
        <w:t xml:space="preserve">Because client funds are fully safeguarded, FYM does not earn interest on customer e-money balances, nor does it invest client monies in any interest-bearing instruments. Any deposits held in our safeguarding account accrue interest directly to customers or are handled in accordance with the FCA’s e-money safeguarding rules. FYM’s own operational treasury funds are kept strictly separate and are invested only in secure, high-quality instruments—such as overnight deposits at our principal clearing bank—to meet our internal liquidity requirements. These treasury investments are small, risk-free placements, chosen </w:t>
      </w:r>
      <w:r w:rsidRPr="00C54A09">
        <w:rPr>
          <w:rFonts w:ascii="Open Sans" w:eastAsia="Times New Roman" w:hAnsi="Open Sans" w:cs="Open Sans"/>
          <w:kern w:val="0"/>
          <w:sz w:val="24"/>
          <w:szCs w:val="24"/>
          <w:lang w:eastAsia="en-GB"/>
          <w14:ligatures w14:val="none"/>
        </w:rPr>
        <w:lastRenderedPageBreak/>
        <w:t>solely to ensure we can cover operational expenses, and carry no link to client e-money.</w:t>
      </w:r>
    </w:p>
    <w:p w14:paraId="1560F04F" w14:textId="77777777" w:rsidR="00C54A09" w:rsidRPr="00C54A09" w:rsidRDefault="00C54A09" w:rsidP="00C54A09">
      <w:pPr>
        <w:spacing w:after="0" w:line="240" w:lineRule="auto"/>
        <w:jc w:val="both"/>
        <w:rPr>
          <w:rFonts w:ascii="Open Sans" w:eastAsia="Times New Roman" w:hAnsi="Open Sans" w:cs="Open Sans"/>
          <w:kern w:val="0"/>
          <w:sz w:val="24"/>
          <w:szCs w:val="24"/>
          <w:lang w:eastAsia="en-GB"/>
          <w14:ligatures w14:val="none"/>
        </w:rPr>
      </w:pPr>
    </w:p>
    <w:p w14:paraId="2D0B3D72" w14:textId="77777777" w:rsidR="00C54A09" w:rsidRPr="00C54A09" w:rsidRDefault="00C54A09" w:rsidP="00C54A09">
      <w:pPr>
        <w:spacing w:after="0" w:line="240" w:lineRule="auto"/>
        <w:rPr>
          <w:rFonts w:ascii="Open Sans" w:eastAsia="Times New Roman" w:hAnsi="Open Sans" w:cs="Open Sans"/>
          <w:b/>
          <w:bCs/>
          <w:kern w:val="0"/>
          <w:sz w:val="24"/>
          <w:szCs w:val="24"/>
          <w:lang w:eastAsia="en-GB"/>
          <w14:ligatures w14:val="none"/>
        </w:rPr>
      </w:pPr>
      <w:r w:rsidRPr="00C54A09">
        <w:rPr>
          <w:rFonts w:ascii="Open Sans" w:eastAsia="Times New Roman" w:hAnsi="Open Sans" w:cs="Open Sans"/>
          <w:b/>
          <w:bCs/>
          <w:kern w:val="0"/>
          <w:sz w:val="24"/>
          <w:szCs w:val="24"/>
          <w:lang w:eastAsia="en-GB"/>
          <w14:ligatures w14:val="none"/>
        </w:rPr>
        <w:t>Oversight and Governance</w:t>
      </w:r>
    </w:p>
    <w:p w14:paraId="2340F6FD" w14:textId="77777777" w:rsidR="00C54A09" w:rsidRPr="00C54A09" w:rsidRDefault="00C54A09" w:rsidP="00C54A09">
      <w:pPr>
        <w:spacing w:after="0" w:line="240" w:lineRule="auto"/>
        <w:jc w:val="both"/>
        <w:rPr>
          <w:rFonts w:ascii="Open Sans" w:eastAsia="Times New Roman" w:hAnsi="Open Sans" w:cs="Open Sans"/>
          <w:kern w:val="0"/>
          <w:sz w:val="24"/>
          <w:szCs w:val="24"/>
          <w:lang w:eastAsia="en-GB"/>
          <w14:ligatures w14:val="none"/>
        </w:rPr>
      </w:pPr>
      <w:r w:rsidRPr="00C54A09">
        <w:rPr>
          <w:rFonts w:ascii="Open Sans" w:eastAsia="Times New Roman" w:hAnsi="Open Sans" w:cs="Open Sans"/>
          <w:kern w:val="0"/>
          <w:sz w:val="24"/>
          <w:szCs w:val="24"/>
          <w:lang w:eastAsia="en-GB"/>
          <w14:ligatures w14:val="none"/>
        </w:rPr>
        <w:t xml:space="preserve">A dedicated Risk Committee, comprising senior management and our Finance Director, reviews FX-related controls and any residual exposures </w:t>
      </w:r>
      <w:proofErr w:type="gramStart"/>
      <w:r w:rsidRPr="00C54A09">
        <w:rPr>
          <w:rFonts w:ascii="Open Sans" w:eastAsia="Times New Roman" w:hAnsi="Open Sans" w:cs="Open Sans"/>
          <w:kern w:val="0"/>
          <w:sz w:val="24"/>
          <w:szCs w:val="24"/>
          <w:lang w:eastAsia="en-GB"/>
          <w14:ligatures w14:val="none"/>
        </w:rPr>
        <w:t>on a monthly basis</w:t>
      </w:r>
      <w:proofErr w:type="gramEnd"/>
      <w:r w:rsidRPr="00C54A09">
        <w:rPr>
          <w:rFonts w:ascii="Open Sans" w:eastAsia="Times New Roman" w:hAnsi="Open Sans" w:cs="Open Sans"/>
          <w:kern w:val="0"/>
          <w:sz w:val="24"/>
          <w:szCs w:val="24"/>
          <w:lang w:eastAsia="en-GB"/>
          <w14:ligatures w14:val="none"/>
        </w:rPr>
        <w:t>. This committee confirms that:</w:t>
      </w:r>
    </w:p>
    <w:p w14:paraId="0E5000B6" w14:textId="77777777" w:rsidR="00C54A09" w:rsidRPr="00C54A09" w:rsidRDefault="00C54A09" w:rsidP="00C54A09">
      <w:pPr>
        <w:numPr>
          <w:ilvl w:val="0"/>
          <w:numId w:val="9"/>
        </w:numPr>
        <w:spacing w:after="0" w:line="240" w:lineRule="auto"/>
        <w:jc w:val="both"/>
        <w:rPr>
          <w:rFonts w:ascii="Open Sans" w:eastAsia="Times New Roman" w:hAnsi="Open Sans" w:cs="Open Sans"/>
          <w:kern w:val="0"/>
          <w:sz w:val="24"/>
          <w:szCs w:val="24"/>
          <w:lang w:eastAsia="en-GB"/>
          <w14:ligatures w14:val="none"/>
        </w:rPr>
      </w:pPr>
      <w:r w:rsidRPr="00C54A09">
        <w:rPr>
          <w:rFonts w:ascii="Open Sans" w:eastAsia="Times New Roman" w:hAnsi="Open Sans" w:cs="Open Sans"/>
          <w:kern w:val="0"/>
          <w:sz w:val="24"/>
          <w:szCs w:val="24"/>
          <w:lang w:eastAsia="en-GB"/>
          <w14:ligatures w14:val="none"/>
        </w:rPr>
        <w:t xml:space="preserve">All FX transactions are correctly matched with liquidity providers in real </w:t>
      </w:r>
      <w:proofErr w:type="gramStart"/>
      <w:r w:rsidRPr="00C54A09">
        <w:rPr>
          <w:rFonts w:ascii="Open Sans" w:eastAsia="Times New Roman" w:hAnsi="Open Sans" w:cs="Open Sans"/>
          <w:kern w:val="0"/>
          <w:sz w:val="24"/>
          <w:szCs w:val="24"/>
          <w:lang w:eastAsia="en-GB"/>
          <w14:ligatures w14:val="none"/>
        </w:rPr>
        <w:t>time;</w:t>
      </w:r>
      <w:proofErr w:type="gramEnd"/>
    </w:p>
    <w:p w14:paraId="2E37ED75" w14:textId="77777777" w:rsidR="00C54A09" w:rsidRPr="00C54A09" w:rsidRDefault="00C54A09" w:rsidP="00C54A09">
      <w:pPr>
        <w:numPr>
          <w:ilvl w:val="0"/>
          <w:numId w:val="9"/>
        </w:numPr>
        <w:spacing w:after="0" w:line="240" w:lineRule="auto"/>
        <w:jc w:val="both"/>
        <w:rPr>
          <w:rFonts w:ascii="Open Sans" w:eastAsia="Times New Roman" w:hAnsi="Open Sans" w:cs="Open Sans"/>
          <w:kern w:val="0"/>
          <w:sz w:val="24"/>
          <w:szCs w:val="24"/>
          <w:lang w:eastAsia="en-GB"/>
          <w14:ligatures w14:val="none"/>
        </w:rPr>
      </w:pPr>
      <w:r w:rsidRPr="00C54A09">
        <w:rPr>
          <w:rFonts w:ascii="Open Sans" w:eastAsia="Times New Roman" w:hAnsi="Open Sans" w:cs="Open Sans"/>
          <w:kern w:val="0"/>
          <w:sz w:val="24"/>
          <w:szCs w:val="24"/>
          <w:lang w:eastAsia="en-GB"/>
          <w14:ligatures w14:val="none"/>
        </w:rPr>
        <w:t xml:space="preserve">No unsupported FX positions exist on our </w:t>
      </w:r>
      <w:proofErr w:type="gramStart"/>
      <w:r w:rsidRPr="00C54A09">
        <w:rPr>
          <w:rFonts w:ascii="Open Sans" w:eastAsia="Times New Roman" w:hAnsi="Open Sans" w:cs="Open Sans"/>
          <w:kern w:val="0"/>
          <w:sz w:val="24"/>
          <w:szCs w:val="24"/>
          <w:lang w:eastAsia="en-GB"/>
          <w14:ligatures w14:val="none"/>
        </w:rPr>
        <w:t>books;</w:t>
      </w:r>
      <w:proofErr w:type="gramEnd"/>
    </w:p>
    <w:p w14:paraId="329D62D8" w14:textId="77777777" w:rsidR="00C54A09" w:rsidRPr="00C54A09" w:rsidRDefault="00C54A09" w:rsidP="00C54A09">
      <w:pPr>
        <w:numPr>
          <w:ilvl w:val="0"/>
          <w:numId w:val="9"/>
        </w:numPr>
        <w:spacing w:after="0" w:line="240" w:lineRule="auto"/>
        <w:jc w:val="both"/>
        <w:rPr>
          <w:rFonts w:ascii="Open Sans" w:eastAsia="Times New Roman" w:hAnsi="Open Sans" w:cs="Open Sans"/>
          <w:kern w:val="0"/>
          <w:sz w:val="24"/>
          <w:szCs w:val="24"/>
          <w:lang w:eastAsia="en-GB"/>
          <w14:ligatures w14:val="none"/>
        </w:rPr>
      </w:pPr>
      <w:r w:rsidRPr="00C54A09">
        <w:rPr>
          <w:rFonts w:ascii="Open Sans" w:eastAsia="Times New Roman" w:hAnsi="Open Sans" w:cs="Open Sans"/>
          <w:kern w:val="0"/>
          <w:sz w:val="24"/>
          <w:szCs w:val="24"/>
          <w:lang w:eastAsia="en-GB"/>
          <w14:ligatures w14:val="none"/>
        </w:rPr>
        <w:t xml:space="preserve">Client safeguarding accounts remain fully funded at all </w:t>
      </w:r>
      <w:proofErr w:type="gramStart"/>
      <w:r w:rsidRPr="00C54A09">
        <w:rPr>
          <w:rFonts w:ascii="Open Sans" w:eastAsia="Times New Roman" w:hAnsi="Open Sans" w:cs="Open Sans"/>
          <w:kern w:val="0"/>
          <w:sz w:val="24"/>
          <w:szCs w:val="24"/>
          <w:lang w:eastAsia="en-GB"/>
          <w14:ligatures w14:val="none"/>
        </w:rPr>
        <w:t>times;</w:t>
      </w:r>
      <w:proofErr w:type="gramEnd"/>
    </w:p>
    <w:p w14:paraId="5AE5BAEE" w14:textId="77777777" w:rsidR="00C54A09" w:rsidRPr="00C54A09" w:rsidRDefault="00C54A09" w:rsidP="00C54A09">
      <w:pPr>
        <w:numPr>
          <w:ilvl w:val="0"/>
          <w:numId w:val="9"/>
        </w:numPr>
        <w:spacing w:after="0" w:line="240" w:lineRule="auto"/>
        <w:jc w:val="both"/>
        <w:rPr>
          <w:rFonts w:ascii="Open Sans" w:eastAsia="Times New Roman" w:hAnsi="Open Sans" w:cs="Open Sans"/>
          <w:kern w:val="0"/>
          <w:sz w:val="24"/>
          <w:szCs w:val="24"/>
          <w:lang w:eastAsia="en-GB"/>
          <w14:ligatures w14:val="none"/>
        </w:rPr>
      </w:pPr>
      <w:r w:rsidRPr="00C54A09">
        <w:rPr>
          <w:rFonts w:ascii="Open Sans" w:eastAsia="Times New Roman" w:hAnsi="Open Sans" w:cs="Open Sans"/>
          <w:kern w:val="0"/>
          <w:sz w:val="24"/>
          <w:szCs w:val="24"/>
          <w:lang w:eastAsia="en-GB"/>
          <w14:ligatures w14:val="none"/>
        </w:rPr>
        <w:t>Any change in liquidity-provider arrangements or FX-rate sources is documented and approved.</w:t>
      </w:r>
    </w:p>
    <w:p w14:paraId="1CE63062" w14:textId="3888712E" w:rsidR="00176409" w:rsidRP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45DAE150" w14:textId="77777777" w:rsidR="00176409" w:rsidRPr="00176409" w:rsidRDefault="00176409" w:rsidP="00176409">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5" w:name="_Toc205035964"/>
      <w:r w:rsidRPr="00176409">
        <w:rPr>
          <w:rFonts w:ascii="Open Sans" w:eastAsia="Times New Roman" w:hAnsi="Open Sans" w:cs="Open Sans"/>
          <w:b/>
          <w:bCs/>
          <w:kern w:val="0"/>
          <w:sz w:val="24"/>
          <w:szCs w:val="24"/>
          <w:lang w:eastAsia="en-GB"/>
          <w14:ligatures w14:val="none"/>
        </w:rPr>
        <w:t>7. Financial Crime Risk</w:t>
      </w:r>
      <w:bookmarkEnd w:id="5"/>
    </w:p>
    <w:p w14:paraId="79029F5D" w14:textId="77777777" w:rsidR="00176409" w:rsidRPr="00176409" w:rsidRDefault="00176409" w:rsidP="00C54A09">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Our robust AML/CTF Programme—expanded from the attached policy—is embedded into FYM’s core systems. We segment customers by risk factors (geography, product, delivery channel), applying Enhanced Due Diligence for high-risk profiles, including PEPs and sanctioned entities. A multi-layered transaction-monitoring engine applies velocity, corridor-specific and anomaly detection rules, generating alerts that feed into a case-management workflow. The MLRO reviews all high-severity alerts within two hours, filing SARs to the NCA as required. Onboarding and periodic refresh of CDD data leverage document capture and facial biometric checks via a third-party vendor. Annual independent testing of AML controls verifies our systems and procedures against the JMLSG guidance and EBA Guidelines, with findings reported to the Board.</w:t>
      </w:r>
    </w:p>
    <w:p w14:paraId="74A8A2CD" w14:textId="42EFB8E7" w:rsidR="00176409" w:rsidRP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047A8198" w14:textId="0DD9C76A" w:rsidR="00176409" w:rsidRPr="00176409" w:rsidRDefault="00176409" w:rsidP="00176409">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38548943" w14:textId="77777777" w:rsidR="0081692E" w:rsidRPr="0081692E" w:rsidRDefault="0081692E" w:rsidP="0081692E">
      <w:pPr>
        <w:spacing w:after="0" w:line="240" w:lineRule="auto"/>
        <w:rPr>
          <w:rFonts w:ascii="Open Sans" w:eastAsia="Times New Roman" w:hAnsi="Open Sans" w:cs="Open Sans"/>
          <w:kern w:val="0"/>
          <w:sz w:val="24"/>
          <w:szCs w:val="24"/>
          <w:lang w:eastAsia="en-GB"/>
          <w14:ligatures w14:val="none"/>
        </w:rPr>
      </w:pPr>
      <w:r w:rsidRPr="0081692E">
        <w:rPr>
          <w:rFonts w:ascii="Open Sans" w:eastAsia="Times New Roman" w:hAnsi="Open Sans" w:cs="Open Sans"/>
          <w:b/>
          <w:bCs/>
          <w:kern w:val="0"/>
          <w:sz w:val="24"/>
          <w:szCs w:val="24"/>
          <w:lang w:eastAsia="en-GB"/>
          <w14:ligatures w14:val="none"/>
        </w:rPr>
        <w:t>8. Foreign Exchange Risk</w:t>
      </w:r>
    </w:p>
    <w:p w14:paraId="1E22AE47" w14:textId="77777777" w:rsidR="0081692E" w:rsidRPr="0081692E" w:rsidRDefault="0081692E" w:rsidP="0081692E">
      <w:pPr>
        <w:spacing w:after="0" w:line="240" w:lineRule="auto"/>
        <w:jc w:val="both"/>
        <w:rPr>
          <w:rFonts w:ascii="Open Sans" w:eastAsia="Times New Roman" w:hAnsi="Open Sans" w:cs="Open Sans"/>
          <w:kern w:val="0"/>
          <w:sz w:val="24"/>
          <w:szCs w:val="24"/>
          <w:lang w:eastAsia="en-GB"/>
          <w14:ligatures w14:val="none"/>
        </w:rPr>
      </w:pPr>
      <w:r w:rsidRPr="0081692E">
        <w:rPr>
          <w:rFonts w:ascii="Open Sans" w:eastAsia="Times New Roman" w:hAnsi="Open Sans" w:cs="Open Sans"/>
          <w:kern w:val="0"/>
          <w:sz w:val="24"/>
          <w:szCs w:val="24"/>
          <w:lang w:eastAsia="en-GB"/>
          <w14:ligatures w14:val="none"/>
        </w:rPr>
        <w:t>FYM Compliance Limited applies a strict matched-principal execution model for all foreign-exchange transactions, ensuring that client-initiated currency conversions are fully backed by immediate market purchases without retaining any open positions. When a customer submits an FX conversion request—whether through our mobile app or back-office portal—the system retrieves live mid-market rates from two independent liquidity providers and presents a locked-in rate to the customer. The quoted rate remains valid for 30 seconds; if the customer does not confirm within this window, the quote expires and no transaction can proceed, eliminating the possibility of stale or outdated pricing.</w:t>
      </w:r>
    </w:p>
    <w:p w14:paraId="33849297" w14:textId="77777777" w:rsidR="0081692E" w:rsidRPr="0081692E" w:rsidRDefault="0081692E" w:rsidP="0081692E">
      <w:pPr>
        <w:spacing w:after="0" w:line="240" w:lineRule="auto"/>
        <w:jc w:val="both"/>
        <w:rPr>
          <w:rFonts w:ascii="Open Sans" w:eastAsia="Times New Roman" w:hAnsi="Open Sans" w:cs="Open Sans"/>
          <w:kern w:val="0"/>
          <w:sz w:val="24"/>
          <w:szCs w:val="24"/>
          <w:lang w:eastAsia="en-GB"/>
          <w14:ligatures w14:val="none"/>
        </w:rPr>
      </w:pPr>
      <w:r w:rsidRPr="0081692E">
        <w:rPr>
          <w:rFonts w:ascii="Open Sans" w:eastAsia="Times New Roman" w:hAnsi="Open Sans" w:cs="Open Sans"/>
          <w:kern w:val="0"/>
          <w:sz w:val="24"/>
          <w:szCs w:val="24"/>
          <w:lang w:eastAsia="en-GB"/>
          <w14:ligatures w14:val="none"/>
        </w:rPr>
        <w:lastRenderedPageBreak/>
        <w:t>Upon customer acceptance, FYM’s platform simultaneously executes the offsetting trade with our liquidity providers, so that the amount of foreign currency delivered to the client is exactly matched by the amount purchased in the wholesale market. This “one-for-one” execution means FYM never retains net FX inventory or undertakes proprietary trading with client funds.</w:t>
      </w:r>
    </w:p>
    <w:p w14:paraId="7A35C749" w14:textId="53DD123E" w:rsidR="0081692E" w:rsidRPr="0081692E" w:rsidRDefault="0081692E" w:rsidP="0081692E">
      <w:pPr>
        <w:spacing w:after="0" w:line="240" w:lineRule="auto"/>
        <w:jc w:val="both"/>
        <w:rPr>
          <w:rFonts w:ascii="Open Sans" w:eastAsia="Times New Roman" w:hAnsi="Open Sans" w:cs="Open Sans"/>
          <w:kern w:val="0"/>
          <w:sz w:val="24"/>
          <w:szCs w:val="24"/>
          <w:lang w:eastAsia="en-GB"/>
          <w14:ligatures w14:val="none"/>
        </w:rPr>
      </w:pPr>
      <w:r w:rsidRPr="0081692E">
        <w:rPr>
          <w:rFonts w:ascii="Open Sans" w:eastAsia="Times New Roman" w:hAnsi="Open Sans" w:cs="Open Sans"/>
          <w:kern w:val="0"/>
          <w:sz w:val="24"/>
          <w:szCs w:val="24"/>
          <w:lang w:eastAsia="en-GB"/>
          <w14:ligatures w14:val="none"/>
        </w:rPr>
        <w:t>To maintain accurate bookkeeping and ensure all trades are fully reconciled, we perform daily reconciliation of all FX transactions. Our operations team compares each customer-facing conversion with the corresponding liquidity-provider settlement, verifying that no residual foreign-currency positions remain. Any discrepancy—even for a few pence—triggers an immediate investigation and corrective settlement before end of business.</w:t>
      </w:r>
      <w:r>
        <w:rPr>
          <w:rFonts w:ascii="Open Sans" w:eastAsia="Times New Roman" w:hAnsi="Open Sans" w:cs="Open Sans"/>
          <w:kern w:val="0"/>
          <w:sz w:val="24"/>
          <w:szCs w:val="24"/>
          <w:lang w:eastAsia="en-GB"/>
          <w14:ligatures w14:val="none"/>
        </w:rPr>
        <w:t xml:space="preserve"> </w:t>
      </w:r>
      <w:r w:rsidRPr="0081692E">
        <w:rPr>
          <w:rFonts w:ascii="Open Sans" w:eastAsia="Times New Roman" w:hAnsi="Open Sans" w:cs="Open Sans"/>
          <w:kern w:val="0"/>
          <w:sz w:val="24"/>
          <w:szCs w:val="24"/>
          <w:lang w:eastAsia="en-GB"/>
          <w14:ligatures w14:val="none"/>
        </w:rPr>
        <w:t>By adopting this matched-principal approach, combined with time-limited quotes and rigorous reconciliation, FYM eliminates market-making and hedging activities, fully complies with the FCA’s prohibition on using client funds for trading, and ensures transparent, predictable pricing for every e-money FX conversion.</w:t>
      </w:r>
    </w:p>
    <w:p w14:paraId="71BB0081" w14:textId="6E96494A" w:rsidR="00176409" w:rsidRP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2E0F3CCA" w14:textId="77777777" w:rsidR="00176409" w:rsidRPr="00176409" w:rsidRDefault="00176409" w:rsidP="00176409">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6" w:name="_Toc205035965"/>
      <w:r w:rsidRPr="00176409">
        <w:rPr>
          <w:rFonts w:ascii="Open Sans" w:eastAsia="Times New Roman" w:hAnsi="Open Sans" w:cs="Open Sans"/>
          <w:b/>
          <w:bCs/>
          <w:kern w:val="0"/>
          <w:sz w:val="24"/>
          <w:szCs w:val="24"/>
          <w:lang w:eastAsia="en-GB"/>
          <w14:ligatures w14:val="none"/>
        </w:rPr>
        <w:t>9. Summary Risk–Control Matrix</w:t>
      </w:r>
      <w:bookmarkEnd w:id="6"/>
    </w:p>
    <w:p w14:paraId="199BE8D4" w14:textId="77777777" w:rsidR="00176409" w:rsidRPr="00176409" w:rsidRDefault="00176409" w:rsidP="00176409">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Below we map each principal risk category to FYM’s primary controls and KRIs:</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957"/>
        <w:gridCol w:w="4340"/>
        <w:gridCol w:w="2719"/>
      </w:tblGrid>
      <w:tr w:rsidR="00CE4808" w:rsidRPr="00176409" w14:paraId="4BC85B6D" w14:textId="77777777" w:rsidTr="007C0E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FBF85" w14:textId="77777777" w:rsidR="00176409" w:rsidRPr="00176409" w:rsidRDefault="00176409" w:rsidP="00176409">
            <w:pPr>
              <w:jc w:val="center"/>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Risk Category</w:t>
            </w:r>
          </w:p>
        </w:tc>
        <w:tc>
          <w:tcPr>
            <w:tcW w:w="0" w:type="auto"/>
            <w:hideMark/>
          </w:tcPr>
          <w:p w14:paraId="61A31520" w14:textId="77777777" w:rsidR="00176409" w:rsidRPr="00176409" w:rsidRDefault="00176409" w:rsidP="00176409">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Key Controls</w:t>
            </w:r>
          </w:p>
        </w:tc>
        <w:tc>
          <w:tcPr>
            <w:tcW w:w="0" w:type="auto"/>
            <w:hideMark/>
          </w:tcPr>
          <w:p w14:paraId="486E553A" w14:textId="77777777" w:rsidR="00176409" w:rsidRPr="00176409" w:rsidRDefault="00176409" w:rsidP="00176409">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KRI</w:t>
            </w:r>
          </w:p>
        </w:tc>
      </w:tr>
      <w:tr w:rsidR="00CE4808" w:rsidRPr="00176409" w14:paraId="39C611BE" w14:textId="77777777" w:rsidTr="007C0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837C4" w14:textId="77777777" w:rsidR="00176409" w:rsidRPr="00176409" w:rsidRDefault="00176409" w:rsidP="00176409">
            <w:pPr>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Settlement</w:t>
            </w:r>
          </w:p>
        </w:tc>
        <w:tc>
          <w:tcPr>
            <w:tcW w:w="0" w:type="auto"/>
            <w:hideMark/>
          </w:tcPr>
          <w:p w14:paraId="19304BDF" w14:textId="77777777" w:rsidR="00176409" w:rsidRPr="00176409" w:rsidRDefault="00176409" w:rsidP="00176409">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CASS safeguarding; dual-leg reconciliation; secondary banker</w:t>
            </w:r>
          </w:p>
        </w:tc>
        <w:tc>
          <w:tcPr>
            <w:tcW w:w="0" w:type="auto"/>
            <w:hideMark/>
          </w:tcPr>
          <w:p w14:paraId="6CDB728A" w14:textId="77777777" w:rsidR="00176409" w:rsidRPr="00176409" w:rsidRDefault="00176409" w:rsidP="00176409">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Reconciliation exceptions/day</w:t>
            </w:r>
          </w:p>
        </w:tc>
      </w:tr>
      <w:tr w:rsidR="00B07096" w:rsidRPr="00176409" w14:paraId="00A0CE63" w14:textId="77777777" w:rsidTr="00B07096">
        <w:tc>
          <w:tcPr>
            <w:cnfStyle w:val="001000000000" w:firstRow="0" w:lastRow="0" w:firstColumn="1" w:lastColumn="0" w:oddVBand="0" w:evenVBand="0" w:oddHBand="0" w:evenHBand="0" w:firstRowFirstColumn="0" w:firstRowLastColumn="0" w:lastRowFirstColumn="0" w:lastRowLastColumn="0"/>
            <w:tcW w:w="0" w:type="auto"/>
            <w:hideMark/>
          </w:tcPr>
          <w:p w14:paraId="7EA3785E" w14:textId="77777777" w:rsidR="00176409" w:rsidRPr="00176409" w:rsidRDefault="00176409" w:rsidP="00176409">
            <w:pPr>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Operational</w:t>
            </w:r>
          </w:p>
        </w:tc>
        <w:tc>
          <w:tcPr>
            <w:tcW w:w="0" w:type="auto"/>
            <w:hideMark/>
          </w:tcPr>
          <w:p w14:paraId="604D9FE3" w14:textId="77777777" w:rsidR="00176409" w:rsidRPr="00176409" w:rsidRDefault="00176409" w:rsidP="00176409">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 xml:space="preserve">Quarterly RCSAs; change-control board; 24/7 incident alerts; </w:t>
            </w:r>
            <w:proofErr w:type="spellStart"/>
            <w:r w:rsidRPr="00176409">
              <w:rPr>
                <w:rFonts w:ascii="Open Sans" w:eastAsia="Times New Roman" w:hAnsi="Open Sans" w:cs="Open Sans"/>
                <w:kern w:val="0"/>
                <w:sz w:val="24"/>
                <w:szCs w:val="24"/>
                <w:lang w:eastAsia="en-GB"/>
                <w14:ligatures w14:val="none"/>
              </w:rPr>
              <w:t>SoD</w:t>
            </w:r>
            <w:proofErr w:type="spellEnd"/>
          </w:p>
        </w:tc>
        <w:tc>
          <w:tcPr>
            <w:tcW w:w="0" w:type="auto"/>
            <w:hideMark/>
          </w:tcPr>
          <w:p w14:paraId="1CFBBD7B" w14:textId="77777777" w:rsidR="00176409" w:rsidRPr="00176409" w:rsidRDefault="00176409" w:rsidP="00176409">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Incidents per month; mean time to resolve</w:t>
            </w:r>
          </w:p>
        </w:tc>
      </w:tr>
      <w:tr w:rsidR="00CE4808" w:rsidRPr="00176409" w14:paraId="45B5134C" w14:textId="77777777" w:rsidTr="007C0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A5002" w14:textId="77777777" w:rsidR="00176409" w:rsidRPr="00176409" w:rsidRDefault="00176409" w:rsidP="00176409">
            <w:pPr>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Counterparty</w:t>
            </w:r>
          </w:p>
        </w:tc>
        <w:tc>
          <w:tcPr>
            <w:tcW w:w="0" w:type="auto"/>
            <w:hideMark/>
          </w:tcPr>
          <w:p w14:paraId="707C1E5D" w14:textId="77777777" w:rsidR="00176409" w:rsidRPr="00176409" w:rsidRDefault="00176409" w:rsidP="00176409">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Enhanced due diligence; exposure limits; indemnity bonds</w:t>
            </w:r>
          </w:p>
        </w:tc>
        <w:tc>
          <w:tcPr>
            <w:tcW w:w="0" w:type="auto"/>
            <w:hideMark/>
          </w:tcPr>
          <w:p w14:paraId="64A5BF9F" w14:textId="77777777" w:rsidR="00176409" w:rsidRPr="00176409" w:rsidRDefault="00176409" w:rsidP="00176409">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 exposure to single counterparty</w:t>
            </w:r>
          </w:p>
        </w:tc>
      </w:tr>
      <w:tr w:rsidR="00B07096" w:rsidRPr="00176409" w14:paraId="21B31BB6" w14:textId="77777777" w:rsidTr="00B07096">
        <w:tc>
          <w:tcPr>
            <w:cnfStyle w:val="001000000000" w:firstRow="0" w:lastRow="0" w:firstColumn="1" w:lastColumn="0" w:oddVBand="0" w:evenVBand="0" w:oddHBand="0" w:evenHBand="0" w:firstRowFirstColumn="0" w:firstRowLastColumn="0" w:lastRowFirstColumn="0" w:lastRowLastColumn="0"/>
            <w:tcW w:w="0" w:type="auto"/>
            <w:hideMark/>
          </w:tcPr>
          <w:p w14:paraId="4EB230F6" w14:textId="77777777" w:rsidR="00176409" w:rsidRPr="00176409" w:rsidRDefault="00176409" w:rsidP="00176409">
            <w:pPr>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Liquidity</w:t>
            </w:r>
          </w:p>
        </w:tc>
        <w:tc>
          <w:tcPr>
            <w:tcW w:w="0" w:type="auto"/>
            <w:hideMark/>
          </w:tcPr>
          <w:p w14:paraId="250D2BDB" w14:textId="77777777" w:rsidR="00176409" w:rsidRPr="00176409" w:rsidRDefault="00176409" w:rsidP="00176409">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10% buffer; weekly cash forecasts; stress tests; credit line</w:t>
            </w:r>
          </w:p>
        </w:tc>
        <w:tc>
          <w:tcPr>
            <w:tcW w:w="0" w:type="auto"/>
            <w:hideMark/>
          </w:tcPr>
          <w:p w14:paraId="055825E9" w14:textId="77777777" w:rsidR="00176409" w:rsidRPr="00176409" w:rsidRDefault="00176409" w:rsidP="00176409">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Liquidity buffer ratio</w:t>
            </w:r>
          </w:p>
        </w:tc>
      </w:tr>
      <w:tr w:rsidR="00CE4808" w:rsidRPr="00176409" w14:paraId="638955DE" w14:textId="77777777" w:rsidTr="007C0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AD434" w14:textId="77777777" w:rsidR="00176409" w:rsidRPr="00176409" w:rsidRDefault="00176409" w:rsidP="00176409">
            <w:pPr>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Market (FX/IR)</w:t>
            </w:r>
          </w:p>
        </w:tc>
        <w:tc>
          <w:tcPr>
            <w:tcW w:w="0" w:type="auto"/>
            <w:hideMark/>
          </w:tcPr>
          <w:p w14:paraId="3EEBCCD8" w14:textId="77777777" w:rsidR="00176409" w:rsidRPr="00176409" w:rsidRDefault="00176409" w:rsidP="00176409">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Dual-source rates; no proprietary FX; back-to-back hedges; interest-rate monitoring</w:t>
            </w:r>
          </w:p>
        </w:tc>
        <w:tc>
          <w:tcPr>
            <w:tcW w:w="0" w:type="auto"/>
            <w:hideMark/>
          </w:tcPr>
          <w:p w14:paraId="771E6158" w14:textId="77777777" w:rsidR="00176409" w:rsidRPr="00176409" w:rsidRDefault="00176409" w:rsidP="00176409">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FX quote expiry breaches; margin variance</w:t>
            </w:r>
          </w:p>
        </w:tc>
      </w:tr>
      <w:tr w:rsidR="00B07096" w:rsidRPr="00176409" w14:paraId="7C8D7FDC" w14:textId="77777777" w:rsidTr="00B07096">
        <w:tc>
          <w:tcPr>
            <w:cnfStyle w:val="001000000000" w:firstRow="0" w:lastRow="0" w:firstColumn="1" w:lastColumn="0" w:oddVBand="0" w:evenVBand="0" w:oddHBand="0" w:evenHBand="0" w:firstRowFirstColumn="0" w:firstRowLastColumn="0" w:lastRowFirstColumn="0" w:lastRowLastColumn="0"/>
            <w:tcW w:w="0" w:type="auto"/>
            <w:hideMark/>
          </w:tcPr>
          <w:p w14:paraId="26B00AE1" w14:textId="77777777" w:rsidR="00176409" w:rsidRPr="00176409" w:rsidRDefault="00176409" w:rsidP="00176409">
            <w:pPr>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Financial Crime</w:t>
            </w:r>
          </w:p>
        </w:tc>
        <w:tc>
          <w:tcPr>
            <w:tcW w:w="0" w:type="auto"/>
            <w:hideMark/>
          </w:tcPr>
          <w:p w14:paraId="4A9E1C6D" w14:textId="77777777" w:rsidR="00176409" w:rsidRPr="00176409" w:rsidRDefault="00176409" w:rsidP="00176409">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Customer risk segmentation; transaction monitoring; SAR procedure; annual independent AML testing</w:t>
            </w:r>
          </w:p>
        </w:tc>
        <w:tc>
          <w:tcPr>
            <w:tcW w:w="0" w:type="auto"/>
            <w:hideMark/>
          </w:tcPr>
          <w:p w14:paraId="2EB54E67" w14:textId="77777777" w:rsidR="00176409" w:rsidRPr="00176409" w:rsidRDefault="00176409" w:rsidP="00176409">
            <w:pP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 xml:space="preserve">SAR conversion </w:t>
            </w:r>
            <w:proofErr w:type="gramStart"/>
            <w:r w:rsidRPr="00176409">
              <w:rPr>
                <w:rFonts w:ascii="Open Sans" w:eastAsia="Times New Roman" w:hAnsi="Open Sans" w:cs="Open Sans"/>
                <w:kern w:val="0"/>
                <w:sz w:val="24"/>
                <w:szCs w:val="24"/>
                <w:lang w:eastAsia="en-GB"/>
                <w14:ligatures w14:val="none"/>
              </w:rPr>
              <w:t>rate;</w:t>
            </w:r>
            <w:proofErr w:type="gramEnd"/>
            <w:r w:rsidRPr="00176409">
              <w:rPr>
                <w:rFonts w:ascii="Open Sans" w:eastAsia="Times New Roman" w:hAnsi="Open Sans" w:cs="Open Sans"/>
                <w:kern w:val="0"/>
                <w:sz w:val="24"/>
                <w:szCs w:val="24"/>
                <w:lang w:eastAsia="en-GB"/>
                <w14:ligatures w14:val="none"/>
              </w:rPr>
              <w:t xml:space="preserve"> sanctions hit ratio</w:t>
            </w:r>
          </w:p>
        </w:tc>
      </w:tr>
      <w:tr w:rsidR="00CE4808" w:rsidRPr="00176409" w14:paraId="194CCBDD" w14:textId="77777777" w:rsidTr="007C0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F0ED6" w14:textId="77777777" w:rsidR="00176409" w:rsidRPr="00176409" w:rsidRDefault="00176409" w:rsidP="00176409">
            <w:pPr>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Foreign Exchange</w:t>
            </w:r>
          </w:p>
        </w:tc>
        <w:tc>
          <w:tcPr>
            <w:tcW w:w="0" w:type="auto"/>
            <w:hideMark/>
          </w:tcPr>
          <w:p w14:paraId="4E990195" w14:textId="77777777" w:rsidR="00176409" w:rsidRPr="00176409" w:rsidRDefault="00176409" w:rsidP="00176409">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Live quotes; 30s quote locks; corridor hedges; daily position reconciliation</w:t>
            </w:r>
          </w:p>
        </w:tc>
        <w:tc>
          <w:tcPr>
            <w:tcW w:w="0" w:type="auto"/>
            <w:hideMark/>
          </w:tcPr>
          <w:p w14:paraId="5EDE82CD" w14:textId="77777777" w:rsidR="00176409" w:rsidRPr="00176409" w:rsidRDefault="00176409" w:rsidP="00176409">
            <w:pP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 positions hedged; expired quotes/month</w:t>
            </w:r>
          </w:p>
        </w:tc>
      </w:tr>
    </w:tbl>
    <w:p w14:paraId="3235AB83" w14:textId="7C9E0649" w:rsidR="00176409" w:rsidRPr="00176409" w:rsidRDefault="00176409" w:rsidP="00176409">
      <w:pPr>
        <w:spacing w:after="0" w:line="240" w:lineRule="auto"/>
        <w:rPr>
          <w:rFonts w:ascii="Open Sans" w:eastAsia="Times New Roman" w:hAnsi="Open Sans" w:cs="Open Sans"/>
          <w:kern w:val="0"/>
          <w:sz w:val="24"/>
          <w:szCs w:val="24"/>
          <w:lang w:eastAsia="en-GB"/>
          <w14:ligatures w14:val="none"/>
        </w:rPr>
      </w:pPr>
    </w:p>
    <w:p w14:paraId="50018C57" w14:textId="77777777" w:rsidR="00176409" w:rsidRPr="00176409" w:rsidRDefault="00176409" w:rsidP="00176409">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7" w:name="_Toc205035966"/>
      <w:r w:rsidRPr="00176409">
        <w:rPr>
          <w:rFonts w:ascii="Open Sans" w:eastAsia="Times New Roman" w:hAnsi="Open Sans" w:cs="Open Sans"/>
          <w:b/>
          <w:bCs/>
          <w:kern w:val="0"/>
          <w:sz w:val="24"/>
          <w:szCs w:val="24"/>
          <w:lang w:eastAsia="en-GB"/>
          <w14:ligatures w14:val="none"/>
        </w:rPr>
        <w:t>10. Risk Assessment &amp; Matrix / Risk Score</w:t>
      </w:r>
      <w:bookmarkEnd w:id="7"/>
    </w:p>
    <w:p w14:paraId="6671D7F2" w14:textId="77777777" w:rsidR="00176409" w:rsidRPr="00176409" w:rsidRDefault="00176409" w:rsidP="001E670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Building on our AML/CTF Policy’s risk-scoring methodology, FYM applies a comprehensive Risk Assessment Matrix across customer, product, geographic and operational dimensions. Each risk is scored on Likelihood (1 = Low to 4 = High) and Impact (1 = Minor to 4 = Extreme), producing a Risk Score (Likelihood × Impact). All scores ≥ 9 trigger senior-management review and enhanced controls.</w:t>
      </w:r>
    </w:p>
    <w:p w14:paraId="38763FCC" w14:textId="77777777" w:rsidR="00176409" w:rsidRPr="00176409" w:rsidRDefault="00176409" w:rsidP="001E670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Example: Customer Fraud Risk</w:t>
      </w:r>
      <w:r w:rsidRPr="00176409">
        <w:rPr>
          <w:rFonts w:ascii="Open Sans" w:eastAsia="Times New Roman" w:hAnsi="Open Sans" w:cs="Open Sans"/>
          <w:kern w:val="0"/>
          <w:sz w:val="24"/>
          <w:szCs w:val="24"/>
          <w:lang w:eastAsia="en-GB"/>
          <w14:ligatures w14:val="none"/>
        </w:rPr>
        <w:br/>
        <w:t>A new cash-deposit customer sending multiple near-limit transactions is scored Likelihood = 3 (Medium High) and Impact = 3 (Major), Risk Score = 9 (High). Controls include zero-tolerance for structuring, system-enforced thresholds, agent-training refreshers and immediate SAR escalation.</w:t>
      </w:r>
    </w:p>
    <w:p w14:paraId="2B7A49A1" w14:textId="77777777" w:rsidR="00176409" w:rsidRPr="00176409" w:rsidRDefault="00176409" w:rsidP="00176409">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 xml:space="preserve">Example: High-Risk Corridor (e.g. </w:t>
      </w:r>
      <w:proofErr w:type="spellStart"/>
      <w:r w:rsidRPr="00176409">
        <w:rPr>
          <w:rFonts w:ascii="Open Sans" w:eastAsia="Times New Roman" w:hAnsi="Open Sans" w:cs="Open Sans"/>
          <w:kern w:val="0"/>
          <w:sz w:val="24"/>
          <w:szCs w:val="24"/>
          <w:lang w:eastAsia="en-GB"/>
          <w14:ligatures w14:val="none"/>
        </w:rPr>
        <w:t>UK</w:t>
      </w:r>
      <w:r w:rsidRPr="00176409">
        <w:rPr>
          <w:rFonts w:ascii="Arial" w:eastAsia="Times New Roman" w:hAnsi="Arial" w:cs="Arial"/>
          <w:kern w:val="0"/>
          <w:sz w:val="24"/>
          <w:szCs w:val="24"/>
          <w:lang w:eastAsia="en-GB"/>
          <w14:ligatures w14:val="none"/>
        </w:rPr>
        <w:t>→</w:t>
      </w:r>
      <w:r w:rsidRPr="00176409">
        <w:rPr>
          <w:rFonts w:ascii="Open Sans" w:eastAsia="Times New Roman" w:hAnsi="Open Sans" w:cs="Open Sans"/>
          <w:kern w:val="0"/>
          <w:sz w:val="24"/>
          <w:szCs w:val="24"/>
          <w:lang w:eastAsia="en-GB"/>
          <w14:ligatures w14:val="none"/>
        </w:rPr>
        <w:t>Nigeria</w:t>
      </w:r>
      <w:proofErr w:type="spellEnd"/>
      <w:r w:rsidRPr="00176409">
        <w:rPr>
          <w:rFonts w:ascii="Open Sans" w:eastAsia="Times New Roman" w:hAnsi="Open Sans" w:cs="Open Sans"/>
          <w:kern w:val="0"/>
          <w:sz w:val="24"/>
          <w:szCs w:val="24"/>
          <w:lang w:eastAsia="en-GB"/>
          <w14:ligatures w14:val="none"/>
        </w:rPr>
        <w:t>)</w:t>
      </w:r>
      <w:r w:rsidRPr="00176409">
        <w:rPr>
          <w:rFonts w:ascii="Open Sans" w:eastAsia="Times New Roman" w:hAnsi="Open Sans" w:cs="Open Sans"/>
          <w:kern w:val="0"/>
          <w:sz w:val="24"/>
          <w:szCs w:val="24"/>
          <w:lang w:eastAsia="en-GB"/>
          <w14:ligatures w14:val="none"/>
        </w:rPr>
        <w:br/>
        <w:t>Transactions to this corridor are rated Likelihood = 4 (High) due to known layering typologies, Impact = 3 (Major) for potential financial crime. Score = 12 (Extreme). Mitigants: mandatory EDD, manual review of all transactions, reduced single-transaction caps, and quarterly corridor audits.</w:t>
      </w:r>
    </w:p>
    <w:p w14:paraId="1FAAF06C" w14:textId="5973F88E" w:rsidR="007C0EC5" w:rsidRDefault="00176409" w:rsidP="001E670A">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176409">
        <w:rPr>
          <w:rFonts w:ascii="Open Sans" w:eastAsia="Times New Roman" w:hAnsi="Open Sans" w:cs="Open Sans"/>
          <w:kern w:val="0"/>
          <w:sz w:val="24"/>
          <w:szCs w:val="24"/>
          <w:lang w:eastAsia="en-GB"/>
          <w14:ligatures w14:val="none"/>
        </w:rPr>
        <w:t>A full Risk Assessment Matrix is maintained in our Risk Register, detailing every identified risk, its score, existing controls, residual risk and planned enhancements. This living document is updated quarterly and reviewed by the Compliance Committee to ensure our risk management remains proactive, comprehensive and tailored to the unique demands of e-money issuance, remittance and unrelated payments.</w:t>
      </w:r>
    </w:p>
    <w:p w14:paraId="692760EC" w14:textId="77777777" w:rsidR="00CE4808" w:rsidRPr="00CE4808" w:rsidRDefault="00CE4808" w:rsidP="00CE4808">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62E87020" w14:textId="722055C8" w:rsidR="007C0EC5" w:rsidRPr="00176409" w:rsidRDefault="007C0EC5" w:rsidP="007C0EC5">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8" w:name="_Toc205035967"/>
      <w:r w:rsidRPr="00176409">
        <w:rPr>
          <w:rFonts w:ascii="Open Sans" w:eastAsia="Times New Roman" w:hAnsi="Open Sans" w:cs="Open Sans"/>
          <w:b/>
          <w:bCs/>
          <w:kern w:val="0"/>
          <w:sz w:val="24"/>
          <w:szCs w:val="24"/>
          <w:lang w:eastAsia="en-GB"/>
          <w14:ligatures w14:val="none"/>
        </w:rPr>
        <w:t>1</w:t>
      </w:r>
      <w:r w:rsidR="00CE4808">
        <w:rPr>
          <w:rFonts w:ascii="Open Sans" w:eastAsia="Times New Roman" w:hAnsi="Open Sans" w:cs="Open Sans"/>
          <w:b/>
          <w:bCs/>
          <w:kern w:val="0"/>
          <w:sz w:val="24"/>
          <w:szCs w:val="24"/>
          <w:lang w:eastAsia="en-GB"/>
          <w14:ligatures w14:val="none"/>
        </w:rPr>
        <w:t>1</w:t>
      </w:r>
      <w:r w:rsidRPr="00176409">
        <w:rPr>
          <w:rFonts w:ascii="Open Sans" w:eastAsia="Times New Roman" w:hAnsi="Open Sans" w:cs="Open Sans"/>
          <w:b/>
          <w:bCs/>
          <w:kern w:val="0"/>
          <w:sz w:val="24"/>
          <w:szCs w:val="24"/>
          <w:lang w:eastAsia="en-GB"/>
          <w14:ligatures w14:val="none"/>
        </w:rPr>
        <w:t xml:space="preserve">. </w:t>
      </w:r>
      <w:r w:rsidR="00CE4808">
        <w:rPr>
          <w:rFonts w:ascii="Open Sans" w:eastAsia="Times New Roman" w:hAnsi="Open Sans" w:cs="Open Sans"/>
          <w:b/>
          <w:bCs/>
          <w:kern w:val="0"/>
          <w:sz w:val="24"/>
          <w:szCs w:val="24"/>
          <w:lang w:eastAsia="en-GB"/>
          <w14:ligatures w14:val="none"/>
        </w:rPr>
        <w:t>C</w:t>
      </w:r>
      <w:r>
        <w:rPr>
          <w:rFonts w:ascii="Open Sans" w:eastAsia="Times New Roman" w:hAnsi="Open Sans" w:cs="Open Sans"/>
          <w:b/>
          <w:bCs/>
          <w:kern w:val="0"/>
          <w:sz w:val="24"/>
          <w:szCs w:val="24"/>
          <w:lang w:eastAsia="en-GB"/>
          <w14:ligatures w14:val="none"/>
        </w:rPr>
        <w:t>ustomer Segmentation by Risk Factors</w:t>
      </w:r>
      <w:bookmarkEnd w:id="8"/>
    </w:p>
    <w:p w14:paraId="265F0201" w14:textId="77777777" w:rsidR="007C0EC5" w:rsidRPr="007C0EC5" w:rsidRDefault="007C0EC5" w:rsidP="007C0EC5">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FYM Compliance Limited’s risk-based approach segments customers based on three principal dimensions—Geography, Product and Delivery Channel—to ensure that each relationship is assigned an appropriate level of due diligence and monitoring. This segmentation underpins our broader Risk Management Procedures and leverages the Risk Assessment &amp; Matrix framework where each segment is scored by combining Likelihood and Impact to yield a Combined Risk Score. Segments scoring 1–4 are Low Risk, 5–6 Medium Risk, and 7–10 High Risk.</w:t>
      </w:r>
    </w:p>
    <w:p w14:paraId="3D71E5A3" w14:textId="77777777" w:rsidR="001E670A" w:rsidRDefault="001E670A" w:rsidP="007C0EC5">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bookmarkStart w:id="9" w:name="_Toc205035968"/>
    </w:p>
    <w:p w14:paraId="2EA76E03" w14:textId="77777777" w:rsidR="001E670A" w:rsidRDefault="001E670A" w:rsidP="007C0EC5">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p>
    <w:p w14:paraId="25DC9EDC" w14:textId="55837189" w:rsidR="007C0EC5" w:rsidRPr="007C0EC5" w:rsidRDefault="007C0EC5" w:rsidP="007C0EC5">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lastRenderedPageBreak/>
        <w:t>Geography</w:t>
      </w:r>
      <w:bookmarkEnd w:id="9"/>
    </w:p>
    <w:p w14:paraId="1BC714C6" w14:textId="3DB422D2" w:rsidR="007C0EC5" w:rsidRPr="007C0EC5" w:rsidRDefault="007C0EC5" w:rsidP="007C0EC5">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Customers are first stratified by the jurisdictional risk of their origin or primary transactions. UK-based customers carry the lowest risk</w:t>
      </w:r>
      <w:r>
        <w:rPr>
          <w:rFonts w:ascii="Open Sans" w:eastAsia="Times New Roman" w:hAnsi="Open Sans" w:cs="Open Sans"/>
          <w:kern w:val="0"/>
          <w:sz w:val="24"/>
          <w:szCs w:val="24"/>
          <w:lang w:eastAsia="en-GB"/>
          <w14:ligatures w14:val="none"/>
        </w:rPr>
        <w:t xml:space="preserve"> whilst</w:t>
      </w:r>
      <w:r w:rsidRPr="007C0EC5">
        <w:rPr>
          <w:rFonts w:ascii="Open Sans" w:eastAsia="Times New Roman" w:hAnsi="Open Sans" w:cs="Open Sans"/>
          <w:kern w:val="0"/>
          <w:sz w:val="24"/>
          <w:szCs w:val="24"/>
          <w:lang w:eastAsia="en-GB"/>
          <w14:ligatures w14:val="none"/>
        </w:rPr>
        <w:t xml:space="preserve"> customers transacting primarily with FATF </w:t>
      </w:r>
      <w:r w:rsidR="00CE4808" w:rsidRPr="007C0EC5">
        <w:rPr>
          <w:rFonts w:ascii="Open Sans" w:eastAsia="Times New Roman" w:hAnsi="Open Sans" w:cs="Open Sans"/>
          <w:kern w:val="0"/>
          <w:sz w:val="24"/>
          <w:szCs w:val="24"/>
          <w:lang w:eastAsia="en-GB"/>
          <w14:ligatures w14:val="none"/>
        </w:rPr>
        <w:t>high-risk,</w:t>
      </w:r>
      <w:r w:rsidRPr="007C0EC5">
        <w:rPr>
          <w:rFonts w:ascii="Open Sans" w:eastAsia="Times New Roman" w:hAnsi="Open Sans" w:cs="Open Sans"/>
          <w:kern w:val="0"/>
          <w:sz w:val="24"/>
          <w:szCs w:val="24"/>
          <w:lang w:eastAsia="en-GB"/>
          <w14:ligatures w14:val="none"/>
        </w:rPr>
        <w:t xml:space="preserve"> or non-cooperative jurisdictions represent the highest jurisdictional risk.</w:t>
      </w:r>
    </w:p>
    <w:p w14:paraId="3F74A1E8" w14:textId="77777777" w:rsidR="007C0EC5" w:rsidRPr="007C0EC5" w:rsidRDefault="007C0EC5" w:rsidP="007C0EC5">
      <w:pPr>
        <w:numPr>
          <w:ilvl w:val="0"/>
          <w:numId w:val="10"/>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UK (Score = 1): Domestic transactions, robust UK AML controls.</w:t>
      </w:r>
    </w:p>
    <w:p w14:paraId="1A245BB8" w14:textId="77777777" w:rsidR="007C0EC5" w:rsidRPr="007C0EC5" w:rsidRDefault="007C0EC5" w:rsidP="007C0EC5">
      <w:pPr>
        <w:numPr>
          <w:ilvl w:val="0"/>
          <w:numId w:val="10"/>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High-Risk Corridors (Score = 3): Remittances or FX to/from jurisdictions with weaker AML regimes—e.g. certain African or non-FATF-compliant corridors.</w:t>
      </w:r>
    </w:p>
    <w:p w14:paraId="7FDF68A6" w14:textId="77777777" w:rsidR="007C0EC5" w:rsidRPr="007C0EC5" w:rsidRDefault="007C0EC5" w:rsidP="007C0EC5">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bookmarkStart w:id="10" w:name="_Toc205035969"/>
      <w:r w:rsidRPr="007C0EC5">
        <w:rPr>
          <w:rFonts w:ascii="Open Sans" w:eastAsia="Times New Roman" w:hAnsi="Open Sans" w:cs="Open Sans"/>
          <w:kern w:val="0"/>
          <w:sz w:val="24"/>
          <w:szCs w:val="24"/>
          <w:lang w:eastAsia="en-GB"/>
          <w14:ligatures w14:val="none"/>
        </w:rPr>
        <w:t>Product</w:t>
      </w:r>
      <w:bookmarkEnd w:id="10"/>
    </w:p>
    <w:p w14:paraId="38BE9B18" w14:textId="77777777" w:rsidR="007C0EC5" w:rsidRPr="007C0EC5" w:rsidRDefault="007C0EC5" w:rsidP="007C0EC5">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Next, customers are segmented by the core products they use, reflecting the inherent money-laundering and fraud vulnerabilities of each:</w:t>
      </w:r>
    </w:p>
    <w:p w14:paraId="0350CC0D" w14:textId="77777777" w:rsidR="007C0EC5" w:rsidRPr="007C0EC5" w:rsidRDefault="007C0EC5" w:rsidP="007C0EC5">
      <w:pPr>
        <w:numPr>
          <w:ilvl w:val="0"/>
          <w:numId w:val="1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E-Wallet Issuance (Score = 1): Generic e-money storage and peer-to-peer transfers with low layering risk.</w:t>
      </w:r>
    </w:p>
    <w:p w14:paraId="4DB0CA84" w14:textId="77777777" w:rsidR="007C0EC5" w:rsidRPr="007C0EC5" w:rsidRDefault="007C0EC5" w:rsidP="007C0EC5">
      <w:pPr>
        <w:numPr>
          <w:ilvl w:val="0"/>
          <w:numId w:val="1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Card Transactions (Score = 2): Card-not-present, ATM withdrawals—higher potential for fraud and cash-out layering.</w:t>
      </w:r>
    </w:p>
    <w:p w14:paraId="125601D9" w14:textId="77777777" w:rsidR="007C0EC5" w:rsidRPr="007C0EC5" w:rsidRDefault="007C0EC5" w:rsidP="007C0EC5">
      <w:pPr>
        <w:numPr>
          <w:ilvl w:val="0"/>
          <w:numId w:val="1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Remittance &amp; FX (Score = 3): High-value cross-border flows susceptible to layering, rate arbitrage and correspondent opacity.</w:t>
      </w:r>
    </w:p>
    <w:p w14:paraId="0891AEC9" w14:textId="77777777" w:rsidR="007C0EC5" w:rsidRPr="007C0EC5" w:rsidRDefault="007C0EC5" w:rsidP="007C0EC5">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bookmarkStart w:id="11" w:name="_Toc205035970"/>
      <w:r w:rsidRPr="007C0EC5">
        <w:rPr>
          <w:rFonts w:ascii="Open Sans" w:eastAsia="Times New Roman" w:hAnsi="Open Sans" w:cs="Open Sans"/>
          <w:kern w:val="0"/>
          <w:sz w:val="24"/>
          <w:szCs w:val="24"/>
          <w:lang w:eastAsia="en-GB"/>
          <w14:ligatures w14:val="none"/>
        </w:rPr>
        <w:t>Delivery Channel</w:t>
      </w:r>
      <w:bookmarkEnd w:id="11"/>
    </w:p>
    <w:p w14:paraId="57EB1D66" w14:textId="77777777" w:rsidR="007C0EC5" w:rsidRPr="007C0EC5" w:rsidRDefault="007C0EC5" w:rsidP="007C0EC5">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Finally, we consider how customers access services, as different channels carry distinct impersonation and monitoring challenges:</w:t>
      </w:r>
    </w:p>
    <w:p w14:paraId="71D3BDB9" w14:textId="77777777" w:rsidR="007C0EC5" w:rsidRPr="007C0EC5" w:rsidRDefault="007C0EC5" w:rsidP="007C0EC5">
      <w:pPr>
        <w:numPr>
          <w:ilvl w:val="0"/>
          <w:numId w:val="1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Digital Onboarding (Score = 1): Automated ID&amp;V and device binding—strong controls but non-face-to-face.</w:t>
      </w:r>
    </w:p>
    <w:p w14:paraId="6253233E" w14:textId="75D72359" w:rsidR="007C0EC5" w:rsidRPr="007C0EC5" w:rsidRDefault="007C0EC5" w:rsidP="00CE4808">
      <w:pPr>
        <w:numPr>
          <w:ilvl w:val="0"/>
          <w:numId w:val="1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Agent/Third-Party Onboarding (Score = 2): Cash top-ups, over-the-counter remittance, requiring reliance on third-party KYC and local controls.</w:t>
      </w:r>
    </w:p>
    <w:p w14:paraId="684C0F54" w14:textId="77777777" w:rsidR="007C0EC5" w:rsidRPr="007C0EC5" w:rsidRDefault="007C0EC5" w:rsidP="007C0EC5">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12" w:name="_Toc205035971"/>
      <w:r w:rsidRPr="007C0EC5">
        <w:rPr>
          <w:rFonts w:ascii="Open Sans" w:eastAsia="Times New Roman" w:hAnsi="Open Sans" w:cs="Open Sans"/>
          <w:b/>
          <w:bCs/>
          <w:kern w:val="0"/>
          <w:sz w:val="24"/>
          <w:szCs w:val="24"/>
          <w:lang w:eastAsia="en-GB"/>
          <w14:ligatures w14:val="none"/>
        </w:rPr>
        <w:t>Risk Assessment &amp; Matrix / Risk Scores</w:t>
      </w:r>
      <w:bookmarkEnd w:id="12"/>
    </w:p>
    <w:p w14:paraId="48F5017A" w14:textId="77777777" w:rsidR="007C0EC5" w:rsidRDefault="007C0EC5" w:rsidP="00CE4808">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By summing the risk scores across Geography, Product and Channel, we derive a Combined Risk Score for each customer segment, driving the intensity of our AML/CTF controls, transaction monitoring thresholds and escalation protocols. The table below illustrates key segments; the accompanying chart visualises their risk scores.</w:t>
      </w:r>
    </w:p>
    <w:tbl>
      <w:tblPr>
        <w:tblStyle w:val="GridTable5Dark-Accent1"/>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2279"/>
        <w:gridCol w:w="1502"/>
        <w:gridCol w:w="1182"/>
        <w:gridCol w:w="1222"/>
        <w:gridCol w:w="1449"/>
        <w:gridCol w:w="1302"/>
      </w:tblGrid>
      <w:tr w:rsidR="00CE4808" w:rsidRPr="00CE4808" w14:paraId="6EB70898" w14:textId="77777777" w:rsidTr="00CE48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3D50CC63" w14:textId="77777777" w:rsidR="00CE4808" w:rsidRPr="00CE4808" w:rsidRDefault="00CE4808" w:rsidP="00CE4808">
            <w:pPr>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Segment</w:t>
            </w:r>
          </w:p>
        </w:tc>
        <w:tc>
          <w:tcPr>
            <w:tcW w:w="0" w:type="auto"/>
            <w:tcBorders>
              <w:top w:val="none" w:sz="0" w:space="0" w:color="auto"/>
              <w:left w:val="none" w:sz="0" w:space="0" w:color="auto"/>
              <w:right w:val="none" w:sz="0" w:space="0" w:color="auto"/>
            </w:tcBorders>
            <w:hideMark/>
          </w:tcPr>
          <w:p w14:paraId="5FBDB579" w14:textId="77777777" w:rsidR="00CE4808" w:rsidRPr="00CE4808" w:rsidRDefault="00CE4808" w:rsidP="00CE48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Geography Risk</w:t>
            </w:r>
          </w:p>
        </w:tc>
        <w:tc>
          <w:tcPr>
            <w:tcW w:w="0" w:type="auto"/>
            <w:tcBorders>
              <w:top w:val="none" w:sz="0" w:space="0" w:color="auto"/>
              <w:left w:val="none" w:sz="0" w:space="0" w:color="auto"/>
              <w:right w:val="none" w:sz="0" w:space="0" w:color="auto"/>
            </w:tcBorders>
            <w:hideMark/>
          </w:tcPr>
          <w:p w14:paraId="0BE7D60D" w14:textId="77777777" w:rsidR="00CE4808" w:rsidRPr="00CE4808" w:rsidRDefault="00CE4808" w:rsidP="00CE48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Product Risk</w:t>
            </w:r>
          </w:p>
        </w:tc>
        <w:tc>
          <w:tcPr>
            <w:tcW w:w="0" w:type="auto"/>
            <w:tcBorders>
              <w:top w:val="none" w:sz="0" w:space="0" w:color="auto"/>
              <w:left w:val="none" w:sz="0" w:space="0" w:color="auto"/>
              <w:right w:val="none" w:sz="0" w:space="0" w:color="auto"/>
            </w:tcBorders>
            <w:hideMark/>
          </w:tcPr>
          <w:p w14:paraId="580B6432" w14:textId="77777777" w:rsidR="00CE4808" w:rsidRPr="00CE4808" w:rsidRDefault="00CE4808" w:rsidP="00CE48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Channel Risk</w:t>
            </w:r>
          </w:p>
        </w:tc>
        <w:tc>
          <w:tcPr>
            <w:tcW w:w="0" w:type="auto"/>
            <w:tcBorders>
              <w:top w:val="none" w:sz="0" w:space="0" w:color="auto"/>
              <w:left w:val="none" w:sz="0" w:space="0" w:color="auto"/>
              <w:right w:val="none" w:sz="0" w:space="0" w:color="auto"/>
            </w:tcBorders>
            <w:hideMark/>
          </w:tcPr>
          <w:p w14:paraId="480FCA33" w14:textId="77777777" w:rsidR="00CE4808" w:rsidRPr="00CE4808" w:rsidRDefault="00CE4808" w:rsidP="00CE48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Combined Score</w:t>
            </w:r>
          </w:p>
        </w:tc>
        <w:tc>
          <w:tcPr>
            <w:tcW w:w="0" w:type="auto"/>
            <w:tcBorders>
              <w:top w:val="none" w:sz="0" w:space="0" w:color="auto"/>
              <w:left w:val="none" w:sz="0" w:space="0" w:color="auto"/>
              <w:right w:val="none" w:sz="0" w:space="0" w:color="auto"/>
            </w:tcBorders>
            <w:hideMark/>
          </w:tcPr>
          <w:p w14:paraId="20CCDFEB" w14:textId="77777777" w:rsidR="00CE4808" w:rsidRPr="00CE4808" w:rsidRDefault="00CE4808" w:rsidP="00CE48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Risk Category</w:t>
            </w:r>
          </w:p>
        </w:tc>
      </w:tr>
      <w:tr w:rsidR="00CE4808" w:rsidRPr="00CE4808" w14:paraId="0BBAE709" w14:textId="77777777" w:rsidTr="00CE4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ED1A155" w14:textId="77777777" w:rsidR="00CE4808" w:rsidRPr="00CE4808" w:rsidRDefault="00CE4808" w:rsidP="00CE4808">
            <w:pPr>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lastRenderedPageBreak/>
              <w:t>UK Retail E-Wallet (Digital)</w:t>
            </w:r>
          </w:p>
        </w:tc>
        <w:tc>
          <w:tcPr>
            <w:tcW w:w="0" w:type="auto"/>
            <w:hideMark/>
          </w:tcPr>
          <w:p w14:paraId="4B272C4B" w14:textId="77777777" w:rsidR="00CE4808" w:rsidRPr="00CE4808" w:rsidRDefault="00CE4808" w:rsidP="00CE480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1</w:t>
            </w:r>
          </w:p>
        </w:tc>
        <w:tc>
          <w:tcPr>
            <w:tcW w:w="0" w:type="auto"/>
            <w:hideMark/>
          </w:tcPr>
          <w:p w14:paraId="38DB212C" w14:textId="77777777" w:rsidR="00CE4808" w:rsidRPr="00CE4808" w:rsidRDefault="00CE4808" w:rsidP="00CE480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1</w:t>
            </w:r>
          </w:p>
        </w:tc>
        <w:tc>
          <w:tcPr>
            <w:tcW w:w="0" w:type="auto"/>
            <w:hideMark/>
          </w:tcPr>
          <w:p w14:paraId="49946C5A" w14:textId="77777777" w:rsidR="00CE4808" w:rsidRPr="00CE4808" w:rsidRDefault="00CE4808" w:rsidP="00CE480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1</w:t>
            </w:r>
          </w:p>
        </w:tc>
        <w:tc>
          <w:tcPr>
            <w:tcW w:w="0" w:type="auto"/>
            <w:hideMark/>
          </w:tcPr>
          <w:p w14:paraId="5E0D8A97" w14:textId="77777777" w:rsidR="00CE4808" w:rsidRPr="00CE4808" w:rsidRDefault="00CE4808" w:rsidP="00CE480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3</w:t>
            </w:r>
          </w:p>
        </w:tc>
        <w:tc>
          <w:tcPr>
            <w:tcW w:w="0" w:type="auto"/>
            <w:hideMark/>
          </w:tcPr>
          <w:p w14:paraId="488AB126" w14:textId="77777777" w:rsidR="00CE4808" w:rsidRPr="00CE4808" w:rsidRDefault="00CE4808" w:rsidP="00CE480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Low</w:t>
            </w:r>
          </w:p>
        </w:tc>
      </w:tr>
      <w:tr w:rsidR="00CE4808" w:rsidRPr="00CE4808" w14:paraId="04608F2E" w14:textId="77777777" w:rsidTr="00CE4808">
        <w:tc>
          <w:tcPr>
            <w:cnfStyle w:val="001000000000" w:firstRow="0" w:lastRow="0" w:firstColumn="1" w:lastColumn="0" w:oddVBand="0" w:evenVBand="0" w:oddHBand="0" w:evenHBand="0" w:firstRowFirstColumn="0" w:firstRowLastColumn="0" w:lastRowFirstColumn="0" w:lastRowLastColumn="0"/>
            <w:tcW w:w="0" w:type="auto"/>
            <w:hideMark/>
          </w:tcPr>
          <w:p w14:paraId="1C3DEAC9" w14:textId="77777777" w:rsidR="00CE4808" w:rsidRPr="00CE4808" w:rsidRDefault="00CE4808" w:rsidP="00CE4808">
            <w:pPr>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UK Retail Card Transactions (Digital)</w:t>
            </w:r>
          </w:p>
        </w:tc>
        <w:tc>
          <w:tcPr>
            <w:tcW w:w="0" w:type="auto"/>
            <w:hideMark/>
          </w:tcPr>
          <w:p w14:paraId="0E64E26F" w14:textId="77777777" w:rsidR="00CE4808" w:rsidRPr="00CE4808" w:rsidRDefault="00CE4808" w:rsidP="00CE480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1</w:t>
            </w:r>
          </w:p>
        </w:tc>
        <w:tc>
          <w:tcPr>
            <w:tcW w:w="0" w:type="auto"/>
            <w:hideMark/>
          </w:tcPr>
          <w:p w14:paraId="4F4F85C1" w14:textId="77777777" w:rsidR="00CE4808" w:rsidRPr="00CE4808" w:rsidRDefault="00CE4808" w:rsidP="00CE480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2</w:t>
            </w:r>
          </w:p>
        </w:tc>
        <w:tc>
          <w:tcPr>
            <w:tcW w:w="0" w:type="auto"/>
            <w:hideMark/>
          </w:tcPr>
          <w:p w14:paraId="38CB1741" w14:textId="77777777" w:rsidR="00CE4808" w:rsidRPr="00CE4808" w:rsidRDefault="00CE4808" w:rsidP="00CE480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1</w:t>
            </w:r>
          </w:p>
        </w:tc>
        <w:tc>
          <w:tcPr>
            <w:tcW w:w="0" w:type="auto"/>
            <w:hideMark/>
          </w:tcPr>
          <w:p w14:paraId="6247DFCB" w14:textId="77777777" w:rsidR="00CE4808" w:rsidRPr="00CE4808" w:rsidRDefault="00CE4808" w:rsidP="00CE480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4</w:t>
            </w:r>
          </w:p>
        </w:tc>
        <w:tc>
          <w:tcPr>
            <w:tcW w:w="0" w:type="auto"/>
            <w:hideMark/>
          </w:tcPr>
          <w:p w14:paraId="7A615E03" w14:textId="77777777" w:rsidR="00CE4808" w:rsidRPr="00CE4808" w:rsidRDefault="00CE4808" w:rsidP="00CE480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Low</w:t>
            </w:r>
          </w:p>
        </w:tc>
      </w:tr>
      <w:tr w:rsidR="00CE4808" w:rsidRPr="00CE4808" w14:paraId="1866B4F1" w14:textId="77777777" w:rsidTr="00CE4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7619561" w14:textId="77777777" w:rsidR="00CE4808" w:rsidRPr="00CE4808" w:rsidRDefault="00CE4808" w:rsidP="00CE4808">
            <w:pPr>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UK SME E-Wallet (Agent)</w:t>
            </w:r>
          </w:p>
        </w:tc>
        <w:tc>
          <w:tcPr>
            <w:tcW w:w="0" w:type="auto"/>
            <w:hideMark/>
          </w:tcPr>
          <w:p w14:paraId="45AC7085" w14:textId="77777777" w:rsidR="00CE4808" w:rsidRPr="00CE4808" w:rsidRDefault="00CE4808" w:rsidP="00CE480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1</w:t>
            </w:r>
          </w:p>
        </w:tc>
        <w:tc>
          <w:tcPr>
            <w:tcW w:w="0" w:type="auto"/>
            <w:hideMark/>
          </w:tcPr>
          <w:p w14:paraId="036586B2" w14:textId="77777777" w:rsidR="00CE4808" w:rsidRPr="00CE4808" w:rsidRDefault="00CE4808" w:rsidP="00CE480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1</w:t>
            </w:r>
          </w:p>
        </w:tc>
        <w:tc>
          <w:tcPr>
            <w:tcW w:w="0" w:type="auto"/>
            <w:hideMark/>
          </w:tcPr>
          <w:p w14:paraId="68ED0F1D" w14:textId="77777777" w:rsidR="00CE4808" w:rsidRPr="00CE4808" w:rsidRDefault="00CE4808" w:rsidP="00CE480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2</w:t>
            </w:r>
          </w:p>
        </w:tc>
        <w:tc>
          <w:tcPr>
            <w:tcW w:w="0" w:type="auto"/>
            <w:hideMark/>
          </w:tcPr>
          <w:p w14:paraId="6969AB11" w14:textId="77777777" w:rsidR="00CE4808" w:rsidRPr="00CE4808" w:rsidRDefault="00CE4808" w:rsidP="00CE480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4</w:t>
            </w:r>
          </w:p>
        </w:tc>
        <w:tc>
          <w:tcPr>
            <w:tcW w:w="0" w:type="auto"/>
            <w:hideMark/>
          </w:tcPr>
          <w:p w14:paraId="15D49BB9" w14:textId="77777777" w:rsidR="00CE4808" w:rsidRPr="00CE4808" w:rsidRDefault="00CE4808" w:rsidP="00CE480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Low</w:t>
            </w:r>
          </w:p>
        </w:tc>
      </w:tr>
      <w:tr w:rsidR="00CE4808" w:rsidRPr="00CE4808" w14:paraId="0945C8C3" w14:textId="77777777" w:rsidTr="00CE4808">
        <w:tc>
          <w:tcPr>
            <w:cnfStyle w:val="001000000000" w:firstRow="0" w:lastRow="0" w:firstColumn="1" w:lastColumn="0" w:oddVBand="0" w:evenVBand="0" w:oddHBand="0" w:evenHBand="0" w:firstRowFirstColumn="0" w:firstRowLastColumn="0" w:lastRowFirstColumn="0" w:lastRowLastColumn="0"/>
            <w:tcW w:w="0" w:type="auto"/>
            <w:hideMark/>
          </w:tcPr>
          <w:p w14:paraId="373845E3" w14:textId="77777777" w:rsidR="00CE4808" w:rsidRPr="00CE4808" w:rsidRDefault="00CE4808" w:rsidP="00CE4808">
            <w:pPr>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High-Risk Corridor Remittance (Agent)</w:t>
            </w:r>
          </w:p>
        </w:tc>
        <w:tc>
          <w:tcPr>
            <w:tcW w:w="0" w:type="auto"/>
            <w:hideMark/>
          </w:tcPr>
          <w:p w14:paraId="04DDE21F" w14:textId="77777777" w:rsidR="00CE4808" w:rsidRPr="00CE4808" w:rsidRDefault="00CE4808" w:rsidP="00CE480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3</w:t>
            </w:r>
          </w:p>
        </w:tc>
        <w:tc>
          <w:tcPr>
            <w:tcW w:w="0" w:type="auto"/>
            <w:hideMark/>
          </w:tcPr>
          <w:p w14:paraId="4F386BC5" w14:textId="77777777" w:rsidR="00CE4808" w:rsidRPr="00CE4808" w:rsidRDefault="00CE4808" w:rsidP="00CE480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3</w:t>
            </w:r>
          </w:p>
        </w:tc>
        <w:tc>
          <w:tcPr>
            <w:tcW w:w="0" w:type="auto"/>
            <w:hideMark/>
          </w:tcPr>
          <w:p w14:paraId="428B3A5C" w14:textId="77777777" w:rsidR="00CE4808" w:rsidRPr="00CE4808" w:rsidRDefault="00CE4808" w:rsidP="00CE480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2</w:t>
            </w:r>
          </w:p>
        </w:tc>
        <w:tc>
          <w:tcPr>
            <w:tcW w:w="0" w:type="auto"/>
            <w:hideMark/>
          </w:tcPr>
          <w:p w14:paraId="724AB46F" w14:textId="77777777" w:rsidR="00CE4808" w:rsidRPr="00CE4808" w:rsidRDefault="00CE4808" w:rsidP="00CE480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8</w:t>
            </w:r>
          </w:p>
        </w:tc>
        <w:tc>
          <w:tcPr>
            <w:tcW w:w="0" w:type="auto"/>
            <w:hideMark/>
          </w:tcPr>
          <w:p w14:paraId="36F8FE6F" w14:textId="77777777" w:rsidR="00CE4808" w:rsidRPr="00CE4808" w:rsidRDefault="00CE4808" w:rsidP="00CE480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CE4808">
              <w:rPr>
                <w:rFonts w:ascii="Times New Roman" w:eastAsia="Times New Roman" w:hAnsi="Times New Roman" w:cs="Times New Roman"/>
                <w:kern w:val="0"/>
                <w:sz w:val="24"/>
                <w:szCs w:val="24"/>
                <w:lang w:eastAsia="en-GB"/>
                <w14:ligatures w14:val="none"/>
              </w:rPr>
              <w:t>High</w:t>
            </w:r>
          </w:p>
        </w:tc>
      </w:tr>
    </w:tbl>
    <w:p w14:paraId="1FFA2899" w14:textId="6EE3DC44" w:rsidR="007C0EC5" w:rsidRPr="007C0EC5" w:rsidRDefault="007C0EC5" w:rsidP="007C0EC5">
      <w:pPr>
        <w:spacing w:after="0" w:line="240" w:lineRule="auto"/>
        <w:rPr>
          <w:rFonts w:ascii="Times New Roman" w:eastAsia="Times New Roman" w:hAnsi="Times New Roman" w:cs="Times New Roman"/>
          <w:kern w:val="0"/>
          <w:sz w:val="24"/>
          <w:szCs w:val="24"/>
          <w:lang w:eastAsia="en-GB"/>
          <w14:ligatures w14:val="none"/>
        </w:rPr>
      </w:pPr>
    </w:p>
    <w:p w14:paraId="5AF43964" w14:textId="77777777" w:rsidR="007C0EC5" w:rsidRPr="007C0EC5" w:rsidRDefault="007C0EC5" w:rsidP="00CE4808">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13" w:name="_Toc205035972"/>
      <w:r w:rsidRPr="007C0EC5">
        <w:rPr>
          <w:rFonts w:ascii="Open Sans" w:eastAsia="Times New Roman" w:hAnsi="Open Sans" w:cs="Open Sans"/>
          <w:b/>
          <w:bCs/>
          <w:kern w:val="0"/>
          <w:sz w:val="24"/>
          <w:szCs w:val="24"/>
          <w:lang w:eastAsia="en-GB"/>
          <w14:ligatures w14:val="none"/>
        </w:rPr>
        <w:t>Embedding Segmentation into Risk Procedures</w:t>
      </w:r>
      <w:bookmarkEnd w:id="13"/>
    </w:p>
    <w:p w14:paraId="664A99ED" w14:textId="77777777" w:rsidR="007C0EC5" w:rsidRPr="007C0EC5" w:rsidRDefault="007C0EC5" w:rsidP="00CE4808">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Each customer’s risk segment informs the specific controls we apply:</w:t>
      </w:r>
    </w:p>
    <w:p w14:paraId="570008D1" w14:textId="77777777" w:rsidR="007C0EC5" w:rsidRPr="007C0EC5" w:rsidRDefault="007C0EC5" w:rsidP="00CE4808">
      <w:pPr>
        <w:numPr>
          <w:ilvl w:val="0"/>
          <w:numId w:val="1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Low-Risk Customers (Score ≤4) undergo Standard CDD, with transaction thresholds aligned to e-money exemptions (e.g. €150 purse limit) and monitoring based on rule-based sampling.</w:t>
      </w:r>
    </w:p>
    <w:p w14:paraId="375F0D19" w14:textId="77777777" w:rsidR="007C0EC5" w:rsidRPr="007C0EC5" w:rsidRDefault="007C0EC5" w:rsidP="00CE4808">
      <w:pPr>
        <w:numPr>
          <w:ilvl w:val="0"/>
          <w:numId w:val="1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Medium-Risk Customers (Score 5–6) receive Full CDD, enhanced transaction velocity checks, and quarterly account reviews.</w:t>
      </w:r>
    </w:p>
    <w:p w14:paraId="54864362" w14:textId="77777777" w:rsidR="007C0EC5" w:rsidRPr="007C0EC5" w:rsidRDefault="007C0EC5" w:rsidP="00CE4808">
      <w:pPr>
        <w:numPr>
          <w:ilvl w:val="0"/>
          <w:numId w:val="1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High-Risk Customers (Score ≥7) are subject to EDD, mandatory senior-manager approval, lower transaction caps, and continuous real-time surveillance.</w:t>
      </w:r>
    </w:p>
    <w:p w14:paraId="3DD3F57F" w14:textId="77777777" w:rsidR="007C0EC5" w:rsidRPr="007C0EC5" w:rsidRDefault="007C0EC5" w:rsidP="00CE4808">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7C0EC5">
        <w:rPr>
          <w:rFonts w:ascii="Open Sans" w:eastAsia="Times New Roman" w:hAnsi="Open Sans" w:cs="Open Sans"/>
          <w:kern w:val="0"/>
          <w:sz w:val="24"/>
          <w:szCs w:val="24"/>
          <w:lang w:eastAsia="en-GB"/>
          <w14:ligatures w14:val="none"/>
        </w:rPr>
        <w:t>Transaction-monitoring rules are parameterised per segment; for instance, a High-Risk Corridor remittance via agent triggers automatic hold and manual review for any single transfer above £1,000, whereas a UK retail e-wallet digital top-up has a threshold of £150 before review.</w:t>
      </w:r>
    </w:p>
    <w:p w14:paraId="077DDC63" w14:textId="181E1893" w:rsidR="007C0EC5" w:rsidRPr="007C0EC5" w:rsidRDefault="00CE4808" w:rsidP="00CE4808">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Pr>
          <w:rFonts w:ascii="Open Sans" w:eastAsia="Times New Roman" w:hAnsi="Open Sans" w:cs="Open Sans"/>
          <w:kern w:val="0"/>
          <w:sz w:val="24"/>
          <w:szCs w:val="24"/>
          <w:lang w:eastAsia="en-GB"/>
          <w14:ligatures w14:val="none"/>
        </w:rPr>
        <w:t xml:space="preserve">Overall, as FYM Compliance </w:t>
      </w:r>
      <w:r w:rsidRPr="007C0EC5">
        <w:rPr>
          <w:rFonts w:ascii="Open Sans" w:eastAsia="Times New Roman" w:hAnsi="Open Sans" w:cs="Open Sans"/>
          <w:kern w:val="0"/>
          <w:sz w:val="24"/>
          <w:szCs w:val="24"/>
          <w:lang w:eastAsia="en-GB"/>
          <w14:ligatures w14:val="none"/>
        </w:rPr>
        <w:t>embeds</w:t>
      </w:r>
      <w:r w:rsidR="007C0EC5" w:rsidRPr="007C0EC5">
        <w:rPr>
          <w:rFonts w:ascii="Open Sans" w:eastAsia="Times New Roman" w:hAnsi="Open Sans" w:cs="Open Sans"/>
          <w:kern w:val="0"/>
          <w:sz w:val="24"/>
          <w:szCs w:val="24"/>
          <w:lang w:eastAsia="en-GB"/>
          <w14:ligatures w14:val="none"/>
        </w:rPr>
        <w:t xml:space="preserve"> this segmentation and scoring within our Risk Management Procedures, </w:t>
      </w:r>
      <w:r w:rsidRPr="00CE4808">
        <w:rPr>
          <w:rFonts w:ascii="Open Sans" w:eastAsia="Times New Roman" w:hAnsi="Open Sans" w:cs="Open Sans"/>
          <w:kern w:val="0"/>
          <w:sz w:val="24"/>
          <w:szCs w:val="24"/>
          <w:lang w:eastAsia="en-GB"/>
          <w14:ligatures w14:val="none"/>
        </w:rPr>
        <w:t>we would ultimately</w:t>
      </w:r>
      <w:r w:rsidR="007C0EC5" w:rsidRPr="007C0EC5">
        <w:rPr>
          <w:rFonts w:ascii="Open Sans" w:eastAsia="Times New Roman" w:hAnsi="Open Sans" w:cs="Open Sans"/>
          <w:kern w:val="0"/>
          <w:sz w:val="24"/>
          <w:szCs w:val="24"/>
          <w:lang w:eastAsia="en-GB"/>
          <w14:ligatures w14:val="none"/>
        </w:rPr>
        <w:t xml:space="preserve"> ensure that resources and controls are focused where they are most needed, maintaining regulatory compliance and protecting both customers and the firm against evolving financial crime threats.</w:t>
      </w:r>
    </w:p>
    <w:p w14:paraId="40EB2B2F" w14:textId="77777777" w:rsidR="007C0EC5" w:rsidRPr="00176409" w:rsidRDefault="007C0EC5" w:rsidP="00176409">
      <w:pPr>
        <w:spacing w:before="100" w:beforeAutospacing="1" w:after="100" w:afterAutospacing="1" w:line="240" w:lineRule="auto"/>
        <w:rPr>
          <w:rFonts w:ascii="Open Sans" w:eastAsia="Times New Roman" w:hAnsi="Open Sans" w:cs="Open Sans"/>
          <w:kern w:val="0"/>
          <w:sz w:val="24"/>
          <w:szCs w:val="24"/>
          <w:lang w:eastAsia="en-GB"/>
          <w14:ligatures w14:val="none"/>
        </w:rPr>
      </w:pPr>
    </w:p>
    <w:p w14:paraId="2E63F0D0" w14:textId="77777777" w:rsidR="00176409" w:rsidRPr="00176409" w:rsidRDefault="00176409" w:rsidP="00602920">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sectPr w:rsidR="00176409" w:rsidRPr="00176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4A3"/>
    <w:multiLevelType w:val="multilevel"/>
    <w:tmpl w:val="25B87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D5735"/>
    <w:multiLevelType w:val="multilevel"/>
    <w:tmpl w:val="B20A9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15FAE"/>
    <w:multiLevelType w:val="multilevel"/>
    <w:tmpl w:val="AE047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E740E"/>
    <w:multiLevelType w:val="multilevel"/>
    <w:tmpl w:val="FEF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80843"/>
    <w:multiLevelType w:val="multilevel"/>
    <w:tmpl w:val="49AE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31357"/>
    <w:multiLevelType w:val="multilevel"/>
    <w:tmpl w:val="66C6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35441"/>
    <w:multiLevelType w:val="multilevel"/>
    <w:tmpl w:val="16CAA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93E17"/>
    <w:multiLevelType w:val="multilevel"/>
    <w:tmpl w:val="5BB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700DC"/>
    <w:multiLevelType w:val="multilevel"/>
    <w:tmpl w:val="6CB2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A207F"/>
    <w:multiLevelType w:val="multilevel"/>
    <w:tmpl w:val="9E00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6151D"/>
    <w:multiLevelType w:val="multilevel"/>
    <w:tmpl w:val="7FD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A34E3E"/>
    <w:multiLevelType w:val="multilevel"/>
    <w:tmpl w:val="C9C4F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24E27"/>
    <w:multiLevelType w:val="multilevel"/>
    <w:tmpl w:val="EE7A3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889446">
    <w:abstractNumId w:val="3"/>
  </w:num>
  <w:num w:numId="2" w16cid:durableId="1089959773">
    <w:abstractNumId w:val="1"/>
  </w:num>
  <w:num w:numId="3" w16cid:durableId="1759016572">
    <w:abstractNumId w:val="0"/>
  </w:num>
  <w:num w:numId="4" w16cid:durableId="1683623663">
    <w:abstractNumId w:val="5"/>
  </w:num>
  <w:num w:numId="5" w16cid:durableId="1654262686">
    <w:abstractNumId w:val="2"/>
  </w:num>
  <w:num w:numId="6" w16cid:durableId="380860750">
    <w:abstractNumId w:val="6"/>
  </w:num>
  <w:num w:numId="7" w16cid:durableId="2130975268">
    <w:abstractNumId w:val="12"/>
  </w:num>
  <w:num w:numId="8" w16cid:durableId="643195403">
    <w:abstractNumId w:val="11"/>
  </w:num>
  <w:num w:numId="9" w16cid:durableId="1588349272">
    <w:abstractNumId w:val="4"/>
  </w:num>
  <w:num w:numId="10" w16cid:durableId="405999852">
    <w:abstractNumId w:val="10"/>
  </w:num>
  <w:num w:numId="11" w16cid:durableId="2096586223">
    <w:abstractNumId w:val="7"/>
  </w:num>
  <w:num w:numId="12" w16cid:durableId="2108503797">
    <w:abstractNumId w:val="8"/>
  </w:num>
  <w:num w:numId="13" w16cid:durableId="12703523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AA0"/>
    <w:rsid w:val="0003007B"/>
    <w:rsid w:val="0015526D"/>
    <w:rsid w:val="00176409"/>
    <w:rsid w:val="001E670A"/>
    <w:rsid w:val="001E6F60"/>
    <w:rsid w:val="00234AA0"/>
    <w:rsid w:val="002D1D84"/>
    <w:rsid w:val="00572695"/>
    <w:rsid w:val="00602920"/>
    <w:rsid w:val="00687C39"/>
    <w:rsid w:val="007C0EC5"/>
    <w:rsid w:val="00805904"/>
    <w:rsid w:val="0081692E"/>
    <w:rsid w:val="00882F97"/>
    <w:rsid w:val="00925D06"/>
    <w:rsid w:val="00986065"/>
    <w:rsid w:val="009F4A8E"/>
    <w:rsid w:val="00B07096"/>
    <w:rsid w:val="00B8393C"/>
    <w:rsid w:val="00BC505D"/>
    <w:rsid w:val="00C54A09"/>
    <w:rsid w:val="00C63DD8"/>
    <w:rsid w:val="00CD2AB8"/>
    <w:rsid w:val="00CE4808"/>
    <w:rsid w:val="00D904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C8BB"/>
  <w15:chartTrackingRefBased/>
  <w15:docId w15:val="{6027C59F-3375-4E45-B5C4-CE20EB35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AA0"/>
    <w:rPr>
      <w:rFonts w:eastAsiaTheme="majorEastAsia" w:cstheme="majorBidi"/>
      <w:color w:val="272727" w:themeColor="text1" w:themeTint="D8"/>
    </w:rPr>
  </w:style>
  <w:style w:type="paragraph" w:styleId="Title">
    <w:name w:val="Title"/>
    <w:basedOn w:val="Normal"/>
    <w:next w:val="Normal"/>
    <w:link w:val="TitleChar"/>
    <w:uiPriority w:val="10"/>
    <w:qFormat/>
    <w:rsid w:val="00234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AA0"/>
    <w:pPr>
      <w:spacing w:before="160"/>
      <w:jc w:val="center"/>
    </w:pPr>
    <w:rPr>
      <w:i/>
      <w:iCs/>
      <w:color w:val="404040" w:themeColor="text1" w:themeTint="BF"/>
    </w:rPr>
  </w:style>
  <w:style w:type="character" w:customStyle="1" w:styleId="QuoteChar">
    <w:name w:val="Quote Char"/>
    <w:basedOn w:val="DefaultParagraphFont"/>
    <w:link w:val="Quote"/>
    <w:uiPriority w:val="29"/>
    <w:rsid w:val="00234AA0"/>
    <w:rPr>
      <w:i/>
      <w:iCs/>
      <w:color w:val="404040" w:themeColor="text1" w:themeTint="BF"/>
    </w:rPr>
  </w:style>
  <w:style w:type="paragraph" w:styleId="ListParagraph">
    <w:name w:val="List Paragraph"/>
    <w:basedOn w:val="Normal"/>
    <w:uiPriority w:val="34"/>
    <w:qFormat/>
    <w:rsid w:val="00234AA0"/>
    <w:pPr>
      <w:ind w:left="720"/>
      <w:contextualSpacing/>
    </w:pPr>
  </w:style>
  <w:style w:type="character" w:styleId="IntenseEmphasis">
    <w:name w:val="Intense Emphasis"/>
    <w:basedOn w:val="DefaultParagraphFont"/>
    <w:uiPriority w:val="21"/>
    <w:qFormat/>
    <w:rsid w:val="00234AA0"/>
    <w:rPr>
      <w:i/>
      <w:iCs/>
      <w:color w:val="0F4761" w:themeColor="accent1" w:themeShade="BF"/>
    </w:rPr>
  </w:style>
  <w:style w:type="paragraph" w:styleId="IntenseQuote">
    <w:name w:val="Intense Quote"/>
    <w:basedOn w:val="Normal"/>
    <w:next w:val="Normal"/>
    <w:link w:val="IntenseQuoteChar"/>
    <w:uiPriority w:val="30"/>
    <w:qFormat/>
    <w:rsid w:val="00234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AA0"/>
    <w:rPr>
      <w:i/>
      <w:iCs/>
      <w:color w:val="0F4761" w:themeColor="accent1" w:themeShade="BF"/>
    </w:rPr>
  </w:style>
  <w:style w:type="character" w:styleId="IntenseReference">
    <w:name w:val="Intense Reference"/>
    <w:basedOn w:val="DefaultParagraphFont"/>
    <w:uiPriority w:val="32"/>
    <w:qFormat/>
    <w:rsid w:val="00234AA0"/>
    <w:rPr>
      <w:b/>
      <w:bCs/>
      <w:smallCaps/>
      <w:color w:val="0F4761" w:themeColor="accent1" w:themeShade="BF"/>
      <w:spacing w:val="5"/>
    </w:rPr>
  </w:style>
  <w:style w:type="paragraph" w:styleId="TOC1">
    <w:name w:val="toc 1"/>
    <w:basedOn w:val="Normal"/>
    <w:next w:val="Normal"/>
    <w:autoRedefine/>
    <w:uiPriority w:val="39"/>
    <w:unhideWhenUsed/>
    <w:rsid w:val="002D1D84"/>
    <w:pPr>
      <w:spacing w:before="120" w:after="120"/>
    </w:pPr>
    <w:rPr>
      <w:b/>
      <w:bCs/>
      <w:caps/>
      <w:sz w:val="20"/>
      <w:szCs w:val="20"/>
    </w:rPr>
  </w:style>
  <w:style w:type="paragraph" w:styleId="TOC2">
    <w:name w:val="toc 2"/>
    <w:basedOn w:val="Normal"/>
    <w:next w:val="Normal"/>
    <w:autoRedefine/>
    <w:uiPriority w:val="39"/>
    <w:unhideWhenUsed/>
    <w:rsid w:val="002D1D84"/>
    <w:pPr>
      <w:spacing w:after="0"/>
      <w:ind w:left="220"/>
    </w:pPr>
    <w:rPr>
      <w:smallCaps/>
      <w:sz w:val="20"/>
      <w:szCs w:val="20"/>
    </w:rPr>
  </w:style>
  <w:style w:type="paragraph" w:styleId="TOC3">
    <w:name w:val="toc 3"/>
    <w:basedOn w:val="Normal"/>
    <w:next w:val="Normal"/>
    <w:autoRedefine/>
    <w:uiPriority w:val="39"/>
    <w:unhideWhenUsed/>
    <w:rsid w:val="002D1D84"/>
    <w:pPr>
      <w:spacing w:after="0"/>
      <w:ind w:left="440"/>
    </w:pPr>
    <w:rPr>
      <w:i/>
      <w:iCs/>
      <w:sz w:val="20"/>
      <w:szCs w:val="20"/>
    </w:rPr>
  </w:style>
  <w:style w:type="paragraph" w:styleId="TOC4">
    <w:name w:val="toc 4"/>
    <w:basedOn w:val="Normal"/>
    <w:next w:val="Normal"/>
    <w:autoRedefine/>
    <w:uiPriority w:val="39"/>
    <w:unhideWhenUsed/>
    <w:rsid w:val="002D1D84"/>
    <w:pPr>
      <w:spacing w:after="0"/>
      <w:ind w:left="660"/>
    </w:pPr>
    <w:rPr>
      <w:sz w:val="18"/>
      <w:szCs w:val="18"/>
    </w:rPr>
  </w:style>
  <w:style w:type="paragraph" w:styleId="TOC5">
    <w:name w:val="toc 5"/>
    <w:basedOn w:val="Normal"/>
    <w:next w:val="Normal"/>
    <w:autoRedefine/>
    <w:uiPriority w:val="39"/>
    <w:unhideWhenUsed/>
    <w:rsid w:val="002D1D84"/>
    <w:pPr>
      <w:spacing w:after="0"/>
      <w:ind w:left="880"/>
    </w:pPr>
    <w:rPr>
      <w:sz w:val="18"/>
      <w:szCs w:val="18"/>
    </w:rPr>
  </w:style>
  <w:style w:type="paragraph" w:styleId="TOC6">
    <w:name w:val="toc 6"/>
    <w:basedOn w:val="Normal"/>
    <w:next w:val="Normal"/>
    <w:autoRedefine/>
    <w:uiPriority w:val="39"/>
    <w:unhideWhenUsed/>
    <w:rsid w:val="002D1D84"/>
    <w:pPr>
      <w:spacing w:after="0"/>
      <w:ind w:left="1100"/>
    </w:pPr>
    <w:rPr>
      <w:sz w:val="18"/>
      <w:szCs w:val="18"/>
    </w:rPr>
  </w:style>
  <w:style w:type="paragraph" w:styleId="TOC7">
    <w:name w:val="toc 7"/>
    <w:basedOn w:val="Normal"/>
    <w:next w:val="Normal"/>
    <w:autoRedefine/>
    <w:uiPriority w:val="39"/>
    <w:unhideWhenUsed/>
    <w:rsid w:val="002D1D84"/>
    <w:pPr>
      <w:spacing w:after="0"/>
      <w:ind w:left="1320"/>
    </w:pPr>
    <w:rPr>
      <w:sz w:val="18"/>
      <w:szCs w:val="18"/>
    </w:rPr>
  </w:style>
  <w:style w:type="paragraph" w:styleId="TOC8">
    <w:name w:val="toc 8"/>
    <w:basedOn w:val="Normal"/>
    <w:next w:val="Normal"/>
    <w:autoRedefine/>
    <w:uiPriority w:val="39"/>
    <w:unhideWhenUsed/>
    <w:rsid w:val="002D1D84"/>
    <w:pPr>
      <w:spacing w:after="0"/>
      <w:ind w:left="1540"/>
    </w:pPr>
    <w:rPr>
      <w:sz w:val="18"/>
      <w:szCs w:val="18"/>
    </w:rPr>
  </w:style>
  <w:style w:type="paragraph" w:styleId="TOC9">
    <w:name w:val="toc 9"/>
    <w:basedOn w:val="Normal"/>
    <w:next w:val="Normal"/>
    <w:autoRedefine/>
    <w:uiPriority w:val="39"/>
    <w:unhideWhenUsed/>
    <w:rsid w:val="002D1D84"/>
    <w:pPr>
      <w:spacing w:after="0"/>
      <w:ind w:left="1760"/>
    </w:pPr>
    <w:rPr>
      <w:sz w:val="18"/>
      <w:szCs w:val="18"/>
    </w:rPr>
  </w:style>
  <w:style w:type="character" w:styleId="Hyperlink">
    <w:name w:val="Hyperlink"/>
    <w:basedOn w:val="DefaultParagraphFont"/>
    <w:uiPriority w:val="99"/>
    <w:unhideWhenUsed/>
    <w:rsid w:val="002D1D84"/>
    <w:rPr>
      <w:color w:val="467886" w:themeColor="hyperlink"/>
      <w:u w:val="single"/>
    </w:rPr>
  </w:style>
  <w:style w:type="table" w:styleId="GridTable5Dark-Accent1">
    <w:name w:val="Grid Table 5 Dark Accent 1"/>
    <w:basedOn w:val="TableNormal"/>
    <w:uiPriority w:val="50"/>
    <w:rsid w:val="007C0E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19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TotalTime>
  <Pages>1</Pages>
  <Words>2647</Words>
  <Characters>15090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FManu (FYM)</dc:creator>
  <cp:keywords/>
  <dc:description/>
  <cp:lastModifiedBy>FManu (FYM)</cp:lastModifiedBy>
  <cp:revision>9</cp:revision>
  <cp:lastPrinted>2025-08-06T13:14:00Z</cp:lastPrinted>
  <dcterms:created xsi:type="dcterms:W3CDTF">2025-07-05T12:34:00Z</dcterms:created>
  <dcterms:modified xsi:type="dcterms:W3CDTF">2025-08-06T13:15:00Z</dcterms:modified>
</cp:coreProperties>
</file>