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993F5" w14:textId="08EBDE70" w:rsidR="00AD6DA0" w:rsidRPr="00AD6DA0" w:rsidRDefault="00AD6DA0" w:rsidP="00AD6DA0">
      <w:pPr>
        <w:spacing w:before="100" w:beforeAutospacing="1" w:after="100" w:afterAutospacing="1" w:line="240" w:lineRule="auto"/>
        <w:rPr>
          <w:rFonts w:ascii="Open Sans" w:eastAsia="Times New Roman" w:hAnsi="Open Sans" w:cs="Open Sans"/>
          <w:kern w:val="0"/>
          <w:sz w:val="24"/>
          <w:szCs w:val="24"/>
          <w:lang w:eastAsia="en-GB"/>
          <w14:ligatures w14:val="none"/>
        </w:rPr>
      </w:pPr>
      <w:r w:rsidRPr="00AD6DA0">
        <w:rPr>
          <w:rFonts w:ascii="Open Sans" w:eastAsia="Times New Roman" w:hAnsi="Open Sans" w:cs="Open Sans"/>
          <w:b/>
          <w:bCs/>
          <w:kern w:val="0"/>
          <w:sz w:val="56"/>
          <w:szCs w:val="56"/>
          <w:lang w:eastAsia="en-GB"/>
          <w14:ligatures w14:val="none"/>
        </w:rPr>
        <w:t>Safeguarding Policy</w:t>
      </w:r>
      <w:r w:rsidRPr="00AD6DA0">
        <w:rPr>
          <w:rFonts w:ascii="Open Sans" w:eastAsia="Times New Roman" w:hAnsi="Open Sans" w:cs="Open Sans"/>
          <w:kern w:val="0"/>
          <w:sz w:val="24"/>
          <w:szCs w:val="24"/>
          <w:lang w:eastAsia="en-GB"/>
          <w14:ligatures w14:val="none"/>
        </w:rPr>
        <w:br/>
      </w:r>
      <w:r w:rsidRPr="00875069">
        <w:rPr>
          <w:rFonts w:ascii="Open Sans" w:hAnsi="Open Sans" w:cs="Open Sans"/>
          <w:noProof/>
          <w:sz w:val="24"/>
          <w:szCs w:val="24"/>
          <w:lang w:eastAsia="en-GB"/>
        </w:rPr>
        <w:drawing>
          <wp:inline distT="0" distB="0" distL="0" distR="0" wp14:anchorId="5BC12562" wp14:editId="19F96773">
            <wp:extent cx="5731510" cy="5731510"/>
            <wp:effectExtent l="0" t="0" r="2540" b="2540"/>
            <wp:docPr id="1213394773" name="Picture 4"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394773" name="Picture 4" descr="A logo for a company&#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F7DE4A9" w14:textId="6FF7FA46"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3C84EAE7"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42CB122A"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15521757"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4AC9428E"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121F822C"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493C1A13"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0A1E5987"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182DEB6D"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7B44F528"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6D2EE8DE"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05381D6B" w14:textId="43CEA4ED" w:rsidR="00151E4C" w:rsidRDefault="00151E4C" w:rsidP="00151E4C">
      <w:pPr>
        <w:pStyle w:val="TOC1"/>
        <w:tabs>
          <w:tab w:val="right" w:leader="dot" w:pos="9016"/>
        </w:tabs>
        <w:spacing w:line="480" w:lineRule="auto"/>
        <w:rPr>
          <w:rFonts w:ascii="Open Sans" w:eastAsia="Times New Roman" w:hAnsi="Open Sans" w:cs="Open Sans"/>
          <w:b w:val="0"/>
          <w:bCs w:val="0"/>
          <w:sz w:val="24"/>
          <w:szCs w:val="24"/>
          <w:lang w:eastAsia="en-GB"/>
        </w:rPr>
      </w:pPr>
      <w:r>
        <w:rPr>
          <w:rFonts w:ascii="Open Sans" w:eastAsia="Times New Roman" w:hAnsi="Open Sans" w:cs="Open Sans"/>
          <w:b w:val="0"/>
          <w:bCs w:val="0"/>
          <w:sz w:val="24"/>
          <w:szCs w:val="24"/>
          <w:lang w:eastAsia="en-GB"/>
        </w:rPr>
        <w:lastRenderedPageBreak/>
        <w:t>TABLE OF CONTENTS</w:t>
      </w:r>
    </w:p>
    <w:p w14:paraId="0CB5C69F" w14:textId="12604FC6" w:rsidR="00151E4C" w:rsidRPr="00151E4C" w:rsidRDefault="00151E4C" w:rsidP="00151E4C">
      <w:pPr>
        <w:pStyle w:val="TOC1"/>
        <w:tabs>
          <w:tab w:val="right" w:leader="dot" w:pos="9016"/>
        </w:tabs>
        <w:spacing w:line="480" w:lineRule="auto"/>
        <w:rPr>
          <w:rFonts w:ascii="Open Sans" w:eastAsiaTheme="minorEastAsia" w:hAnsi="Open Sans" w:cs="Open Sans"/>
          <w:b w:val="0"/>
          <w:bCs w:val="0"/>
          <w:caps w:val="0"/>
          <w:noProof/>
          <w:sz w:val="24"/>
          <w:szCs w:val="24"/>
          <w:lang w:eastAsia="en-GB"/>
        </w:rPr>
      </w:pPr>
      <w:r w:rsidRPr="00151E4C">
        <w:rPr>
          <w:rFonts w:ascii="Open Sans" w:eastAsia="Times New Roman" w:hAnsi="Open Sans" w:cs="Open Sans"/>
          <w:b w:val="0"/>
          <w:bCs w:val="0"/>
          <w:sz w:val="24"/>
          <w:szCs w:val="24"/>
          <w:lang w:eastAsia="en-GB"/>
        </w:rPr>
        <w:fldChar w:fldCharType="begin"/>
      </w:r>
      <w:r w:rsidRPr="00151E4C">
        <w:rPr>
          <w:rFonts w:ascii="Open Sans" w:eastAsia="Times New Roman" w:hAnsi="Open Sans" w:cs="Open Sans"/>
          <w:b w:val="0"/>
          <w:bCs w:val="0"/>
          <w:sz w:val="24"/>
          <w:szCs w:val="24"/>
          <w:lang w:eastAsia="en-GB"/>
        </w:rPr>
        <w:instrText xml:space="preserve"> TOC \o "1-3" \h \z \u </w:instrText>
      </w:r>
      <w:r w:rsidRPr="00151E4C">
        <w:rPr>
          <w:rFonts w:ascii="Open Sans" w:eastAsia="Times New Roman" w:hAnsi="Open Sans" w:cs="Open Sans"/>
          <w:b w:val="0"/>
          <w:bCs w:val="0"/>
          <w:sz w:val="24"/>
          <w:szCs w:val="24"/>
          <w:lang w:eastAsia="en-GB"/>
        </w:rPr>
        <w:fldChar w:fldCharType="separate"/>
      </w:r>
      <w:hyperlink w:anchor="_Toc205161157" w:history="1">
        <w:r w:rsidRPr="00151E4C">
          <w:rPr>
            <w:rStyle w:val="Hyperlink"/>
            <w:rFonts w:ascii="Open Sans" w:eastAsia="Times New Roman" w:hAnsi="Open Sans" w:cs="Open Sans"/>
            <w:noProof/>
            <w:sz w:val="24"/>
            <w:szCs w:val="24"/>
            <w:lang w:eastAsia="en-GB"/>
          </w:rPr>
          <w:t>Executive Summary</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_Toc205161157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3</w:t>
        </w:r>
        <w:r w:rsidRPr="00151E4C">
          <w:rPr>
            <w:rFonts w:ascii="Open Sans" w:hAnsi="Open Sans" w:cs="Open Sans"/>
            <w:noProof/>
            <w:webHidden/>
            <w:sz w:val="24"/>
            <w:szCs w:val="24"/>
          </w:rPr>
          <w:fldChar w:fldCharType="end"/>
        </w:r>
      </w:hyperlink>
    </w:p>
    <w:p w14:paraId="3491667A" w14:textId="6C5E5C40" w:rsidR="00151E4C" w:rsidRPr="00151E4C" w:rsidRDefault="00151E4C" w:rsidP="00151E4C">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161158" w:history="1">
        <w:r w:rsidRPr="00151E4C">
          <w:rPr>
            <w:rStyle w:val="Hyperlink"/>
            <w:rFonts w:ascii="Open Sans" w:eastAsia="Times New Roman" w:hAnsi="Open Sans" w:cs="Open Sans"/>
            <w:b/>
            <w:bCs/>
            <w:noProof/>
            <w:kern w:val="0"/>
            <w:sz w:val="24"/>
            <w:szCs w:val="24"/>
            <w:lang w:eastAsia="en-GB"/>
            <w14:ligatures w14:val="none"/>
          </w:rPr>
          <w:t>1. Introduction &amp; Regulatory Context</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_Toc205161158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4</w:t>
        </w:r>
        <w:r w:rsidRPr="00151E4C">
          <w:rPr>
            <w:rFonts w:ascii="Open Sans" w:hAnsi="Open Sans" w:cs="Open Sans"/>
            <w:noProof/>
            <w:webHidden/>
            <w:sz w:val="24"/>
            <w:szCs w:val="24"/>
          </w:rPr>
          <w:fldChar w:fldCharType="end"/>
        </w:r>
      </w:hyperlink>
    </w:p>
    <w:p w14:paraId="4915304F" w14:textId="2BBA649F" w:rsidR="00151E4C" w:rsidRPr="00151E4C" w:rsidRDefault="00151E4C" w:rsidP="00151E4C">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161159" w:history="1">
        <w:r w:rsidRPr="00151E4C">
          <w:rPr>
            <w:rStyle w:val="Hyperlink"/>
            <w:rFonts w:ascii="Open Sans" w:eastAsia="Times New Roman" w:hAnsi="Open Sans" w:cs="Open Sans"/>
            <w:b/>
            <w:bCs/>
            <w:noProof/>
            <w:kern w:val="0"/>
            <w:sz w:val="24"/>
            <w:szCs w:val="24"/>
            <w:lang w:eastAsia="en-GB"/>
            <w14:ligatures w14:val="none"/>
          </w:rPr>
          <w:t>2. Investment Policy for Safeguarded Funds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_Toc205161159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4</w:t>
        </w:r>
        <w:r w:rsidRPr="00151E4C">
          <w:rPr>
            <w:rFonts w:ascii="Open Sans" w:hAnsi="Open Sans" w:cs="Open Sans"/>
            <w:noProof/>
            <w:webHidden/>
            <w:sz w:val="24"/>
            <w:szCs w:val="24"/>
          </w:rPr>
          <w:fldChar w:fldCharType="end"/>
        </w:r>
      </w:hyperlink>
    </w:p>
    <w:p w14:paraId="4CEB264F" w14:textId="765CC219"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60" w:history="1">
        <w:r w:rsidRPr="00151E4C">
          <w:rPr>
            <w:rStyle w:val="Hyperlink"/>
            <w:rFonts w:ascii="Open Sans" w:eastAsia="Times New Roman" w:hAnsi="Open Sans" w:cs="Open Sans"/>
            <w:noProof/>
            <w:kern w:val="0"/>
            <w:sz w:val="24"/>
            <w:szCs w:val="24"/>
            <w:lang w:eastAsia="en-GB"/>
            <w14:ligatures w14:val="none"/>
          </w:rPr>
          <w:t>2.1 Permitted Assets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_Toc205161160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4</w:t>
        </w:r>
        <w:r w:rsidRPr="00151E4C">
          <w:rPr>
            <w:rFonts w:ascii="Open Sans" w:hAnsi="Open Sans" w:cs="Open Sans"/>
            <w:noProof/>
            <w:webHidden/>
            <w:sz w:val="24"/>
            <w:szCs w:val="24"/>
          </w:rPr>
          <w:fldChar w:fldCharType="end"/>
        </w:r>
      </w:hyperlink>
    </w:p>
    <w:p w14:paraId="742975D8" w14:textId="120BD47F"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61" w:history="1">
        <w:r w:rsidRPr="00151E4C">
          <w:rPr>
            <w:rStyle w:val="Hyperlink"/>
            <w:rFonts w:ascii="Open Sans" w:eastAsia="Times New Roman" w:hAnsi="Open Sans" w:cs="Open Sans"/>
            <w:b/>
            <w:bCs/>
            <w:noProof/>
            <w:kern w:val="0"/>
            <w:sz w:val="24"/>
            <w:szCs w:val="24"/>
            <w:lang w:eastAsia="en-GB"/>
            <w14:ligatures w14:val="none"/>
          </w:rPr>
          <w:t>2.2 FCA Approval for Additional Assets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_Toc205161161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5</w:t>
        </w:r>
        <w:r w:rsidRPr="00151E4C">
          <w:rPr>
            <w:rFonts w:ascii="Open Sans" w:hAnsi="Open Sans" w:cs="Open Sans"/>
            <w:noProof/>
            <w:webHidden/>
            <w:sz w:val="24"/>
            <w:szCs w:val="24"/>
          </w:rPr>
          <w:fldChar w:fldCharType="end"/>
        </w:r>
      </w:hyperlink>
    </w:p>
    <w:p w14:paraId="759AD4CE" w14:textId="40CCFE17" w:rsidR="00151E4C" w:rsidRPr="00151E4C" w:rsidRDefault="00151E4C" w:rsidP="00151E4C">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161162" w:history="1">
        <w:r w:rsidRPr="00151E4C">
          <w:rPr>
            <w:rStyle w:val="Hyperlink"/>
            <w:rFonts w:ascii="Open Sans" w:eastAsia="Times New Roman" w:hAnsi="Open Sans" w:cs="Open Sans"/>
            <w:b/>
            <w:bCs/>
            <w:noProof/>
            <w:kern w:val="0"/>
            <w:sz w:val="24"/>
            <w:szCs w:val="24"/>
            <w:lang w:eastAsia="en-GB"/>
            <w14:ligatures w14:val="none"/>
          </w:rPr>
          <w:t>3. Custody &amp; Segregation Arrangements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_Toc205161162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5</w:t>
        </w:r>
        <w:r w:rsidRPr="00151E4C">
          <w:rPr>
            <w:rFonts w:ascii="Open Sans" w:hAnsi="Open Sans" w:cs="Open Sans"/>
            <w:noProof/>
            <w:webHidden/>
            <w:sz w:val="24"/>
            <w:szCs w:val="24"/>
          </w:rPr>
          <w:fldChar w:fldCharType="end"/>
        </w:r>
      </w:hyperlink>
    </w:p>
    <w:p w14:paraId="4FE2CE0F" w14:textId="18003FF9"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63" w:history="1">
        <w:r w:rsidRPr="00151E4C">
          <w:rPr>
            <w:rStyle w:val="Hyperlink"/>
            <w:rFonts w:ascii="Open Sans" w:eastAsia="Times New Roman" w:hAnsi="Open Sans" w:cs="Open Sans"/>
            <w:noProof/>
            <w:kern w:val="0"/>
            <w:sz w:val="24"/>
            <w:szCs w:val="24"/>
            <w:lang w:eastAsia="en-GB"/>
            <w14:ligatures w14:val="none"/>
          </w:rPr>
          <w:t>3.1 Dedicated Safeguarding Accounts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_Toc205161163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5</w:t>
        </w:r>
        <w:r w:rsidRPr="00151E4C">
          <w:rPr>
            <w:rFonts w:ascii="Open Sans" w:hAnsi="Open Sans" w:cs="Open Sans"/>
            <w:noProof/>
            <w:webHidden/>
            <w:sz w:val="24"/>
            <w:szCs w:val="24"/>
          </w:rPr>
          <w:fldChar w:fldCharType="end"/>
        </w:r>
      </w:hyperlink>
    </w:p>
    <w:p w14:paraId="4B07EC97" w14:textId="7367CF21"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64" w:history="1">
        <w:r w:rsidRPr="00151E4C">
          <w:rPr>
            <w:rStyle w:val="Hyperlink"/>
            <w:rFonts w:ascii="Open Sans" w:eastAsia="Times New Roman" w:hAnsi="Open Sans" w:cs="Open Sans"/>
            <w:noProof/>
            <w:kern w:val="0"/>
            <w:sz w:val="24"/>
            <w:szCs w:val="24"/>
            <w:lang w:eastAsia="en-GB"/>
            <w14:ligatures w14:val="none"/>
          </w:rPr>
          <w:t>3.2 Intraday Segregation Process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_Toc205161164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5</w:t>
        </w:r>
        <w:r w:rsidRPr="00151E4C">
          <w:rPr>
            <w:rFonts w:ascii="Open Sans" w:hAnsi="Open Sans" w:cs="Open Sans"/>
            <w:noProof/>
            <w:webHidden/>
            <w:sz w:val="24"/>
            <w:szCs w:val="24"/>
          </w:rPr>
          <w:fldChar w:fldCharType="end"/>
        </w:r>
      </w:hyperlink>
    </w:p>
    <w:p w14:paraId="0A0C4037" w14:textId="47AC4AA8" w:rsidR="00151E4C" w:rsidRPr="00151E4C" w:rsidRDefault="00151E4C" w:rsidP="00151E4C">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161165" w:history="1">
        <w:r w:rsidRPr="00151E4C">
          <w:rPr>
            <w:rStyle w:val="Hyperlink"/>
            <w:rFonts w:ascii="Open Sans" w:eastAsia="Times New Roman" w:hAnsi="Open Sans" w:cs="Open Sans"/>
            <w:b/>
            <w:bCs/>
            <w:noProof/>
            <w:kern w:val="0"/>
            <w:sz w:val="24"/>
            <w:szCs w:val="24"/>
            <w:lang w:eastAsia="en-GB"/>
            <w14:ligatures w14:val="none"/>
          </w:rPr>
          <w:t>4. Daily Reconciliation &amp; Discrepancy Resolution</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_Toc205161165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6</w:t>
        </w:r>
        <w:r w:rsidRPr="00151E4C">
          <w:rPr>
            <w:rFonts w:ascii="Open Sans" w:hAnsi="Open Sans" w:cs="Open Sans"/>
            <w:noProof/>
            <w:webHidden/>
            <w:sz w:val="24"/>
            <w:szCs w:val="24"/>
          </w:rPr>
          <w:fldChar w:fldCharType="end"/>
        </w:r>
      </w:hyperlink>
    </w:p>
    <w:p w14:paraId="13082BEA" w14:textId="4C8DFBE4"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66" w:history="1">
        <w:r w:rsidRPr="00151E4C">
          <w:rPr>
            <w:rStyle w:val="Hyperlink"/>
            <w:rFonts w:ascii="Open Sans" w:eastAsia="Times New Roman" w:hAnsi="Open Sans" w:cs="Open Sans"/>
            <w:b/>
            <w:bCs/>
            <w:noProof/>
            <w:kern w:val="0"/>
            <w:sz w:val="24"/>
            <w:szCs w:val="24"/>
            <w:lang w:eastAsia="en-GB"/>
            <w14:ligatures w14:val="none"/>
          </w:rPr>
          <w:t>4.1 Reconciliation Procedures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_Toc205161166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6</w:t>
        </w:r>
        <w:r w:rsidRPr="00151E4C">
          <w:rPr>
            <w:rFonts w:ascii="Open Sans" w:hAnsi="Open Sans" w:cs="Open Sans"/>
            <w:noProof/>
            <w:webHidden/>
            <w:sz w:val="24"/>
            <w:szCs w:val="24"/>
          </w:rPr>
          <w:fldChar w:fldCharType="end"/>
        </w:r>
      </w:hyperlink>
    </w:p>
    <w:p w14:paraId="3B8970BF" w14:textId="26CA4DBF"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67" w:history="1">
        <w:r w:rsidRPr="00151E4C">
          <w:rPr>
            <w:rStyle w:val="Hyperlink"/>
            <w:rFonts w:ascii="Open Sans" w:eastAsia="Times New Roman" w:hAnsi="Open Sans" w:cs="Open Sans"/>
            <w:noProof/>
            <w:kern w:val="0"/>
            <w:sz w:val="24"/>
            <w:szCs w:val="24"/>
            <w:lang w:eastAsia="en-GB"/>
            <w14:ligatures w14:val="none"/>
          </w:rPr>
          <w:t>4.2 Discrepancy Management</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_Toc205161167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6</w:t>
        </w:r>
        <w:r w:rsidRPr="00151E4C">
          <w:rPr>
            <w:rFonts w:ascii="Open Sans" w:hAnsi="Open Sans" w:cs="Open Sans"/>
            <w:noProof/>
            <w:webHidden/>
            <w:sz w:val="24"/>
            <w:szCs w:val="24"/>
          </w:rPr>
          <w:fldChar w:fldCharType="end"/>
        </w:r>
      </w:hyperlink>
    </w:p>
    <w:p w14:paraId="22B726D5" w14:textId="604B1517" w:rsidR="00151E4C" w:rsidRPr="00151E4C" w:rsidRDefault="00151E4C" w:rsidP="00151E4C">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161168" w:history="1">
        <w:r w:rsidRPr="00151E4C">
          <w:rPr>
            <w:rStyle w:val="Hyperlink"/>
            <w:rFonts w:ascii="Open Sans" w:eastAsia="Times New Roman" w:hAnsi="Open Sans" w:cs="Open Sans"/>
            <w:b/>
            <w:bCs/>
            <w:noProof/>
            <w:kern w:val="0"/>
            <w:sz w:val="24"/>
            <w:szCs w:val="24"/>
            <w:lang w:eastAsia="en-GB"/>
            <w14:ligatures w14:val="none"/>
          </w:rPr>
          <w:t>5. Governance &amp; Oversight</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_Toc205161168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6</w:t>
        </w:r>
        <w:r w:rsidRPr="00151E4C">
          <w:rPr>
            <w:rFonts w:ascii="Open Sans" w:hAnsi="Open Sans" w:cs="Open Sans"/>
            <w:noProof/>
            <w:webHidden/>
            <w:sz w:val="24"/>
            <w:szCs w:val="24"/>
          </w:rPr>
          <w:fldChar w:fldCharType="end"/>
        </w:r>
      </w:hyperlink>
    </w:p>
    <w:p w14:paraId="67596BE1" w14:textId="12A20779"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69" w:history="1">
        <w:r w:rsidRPr="00151E4C">
          <w:rPr>
            <w:rStyle w:val="Hyperlink"/>
            <w:rFonts w:ascii="Open Sans" w:eastAsia="Times New Roman" w:hAnsi="Open Sans" w:cs="Open Sans"/>
            <w:noProof/>
            <w:kern w:val="0"/>
            <w:sz w:val="24"/>
            <w:szCs w:val="24"/>
            <w:lang w:eastAsia="en-GB"/>
            <w14:ligatures w14:val="none"/>
          </w:rPr>
          <w:t>5.1 Daily &amp; Monthly Controls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_Toc205161169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6</w:t>
        </w:r>
        <w:r w:rsidRPr="00151E4C">
          <w:rPr>
            <w:rFonts w:ascii="Open Sans" w:hAnsi="Open Sans" w:cs="Open Sans"/>
            <w:noProof/>
            <w:webHidden/>
            <w:sz w:val="24"/>
            <w:szCs w:val="24"/>
          </w:rPr>
          <w:fldChar w:fldCharType="end"/>
        </w:r>
      </w:hyperlink>
    </w:p>
    <w:p w14:paraId="6C8C80E9" w14:textId="03E3C1E5" w:rsidR="00151E4C" w:rsidRPr="00151E4C" w:rsidRDefault="00151E4C" w:rsidP="00151E4C">
      <w:pPr>
        <w:pStyle w:val="TOC3"/>
        <w:tabs>
          <w:tab w:val="right" w:leader="dot" w:pos="9016"/>
        </w:tabs>
        <w:spacing w:line="480" w:lineRule="auto"/>
        <w:rPr>
          <w:rFonts w:ascii="Open Sans" w:eastAsiaTheme="minorEastAsia" w:hAnsi="Open Sans" w:cs="Open Sans"/>
          <w:i w:val="0"/>
          <w:iCs w:val="0"/>
          <w:noProof/>
          <w:sz w:val="24"/>
          <w:szCs w:val="24"/>
          <w:lang w:eastAsia="en-GB"/>
        </w:rPr>
      </w:pPr>
      <w:hyperlink w:anchor="_Toc205161170" w:history="1">
        <w:r w:rsidRPr="00151E4C">
          <w:rPr>
            <w:rStyle w:val="Hyperlink"/>
            <w:rFonts w:ascii="Open Sans" w:eastAsia="Times New Roman" w:hAnsi="Open Sans" w:cs="Open Sans"/>
            <w:noProof/>
            <w:kern w:val="0"/>
            <w:sz w:val="24"/>
            <w:szCs w:val="24"/>
            <w:lang w:eastAsia="en-GB"/>
            <w14:ligatures w14:val="none"/>
          </w:rPr>
          <w:t>5.2 Independent Assurance</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_Toc205161170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7</w:t>
        </w:r>
        <w:r w:rsidRPr="00151E4C">
          <w:rPr>
            <w:rFonts w:ascii="Open Sans" w:hAnsi="Open Sans" w:cs="Open Sans"/>
            <w:noProof/>
            <w:webHidden/>
            <w:sz w:val="24"/>
            <w:szCs w:val="24"/>
          </w:rPr>
          <w:fldChar w:fldCharType="end"/>
        </w:r>
      </w:hyperlink>
    </w:p>
    <w:p w14:paraId="653A533E" w14:textId="27DD71E6" w:rsidR="00151E4C" w:rsidRPr="00151E4C" w:rsidRDefault="00151E4C" w:rsidP="00151E4C">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161171" w:history="1">
        <w:r w:rsidRPr="00151E4C">
          <w:rPr>
            <w:rStyle w:val="Hyperlink"/>
            <w:rFonts w:ascii="Open Sans" w:eastAsia="Times New Roman" w:hAnsi="Open Sans" w:cs="Open Sans"/>
            <w:b/>
            <w:bCs/>
            <w:noProof/>
            <w:kern w:val="0"/>
            <w:sz w:val="24"/>
            <w:szCs w:val="24"/>
            <w:lang w:eastAsia="en-GB"/>
            <w14:ligatures w14:val="none"/>
          </w:rPr>
          <w:t>6. Agent &amp; Distributor Oversight</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_Toc205161171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7</w:t>
        </w:r>
        <w:r w:rsidRPr="00151E4C">
          <w:rPr>
            <w:rFonts w:ascii="Open Sans" w:hAnsi="Open Sans" w:cs="Open Sans"/>
            <w:noProof/>
            <w:webHidden/>
            <w:sz w:val="24"/>
            <w:szCs w:val="24"/>
          </w:rPr>
          <w:fldChar w:fldCharType="end"/>
        </w:r>
      </w:hyperlink>
    </w:p>
    <w:p w14:paraId="0998613F" w14:textId="171EF714" w:rsidR="00151E4C" w:rsidRPr="00151E4C" w:rsidRDefault="00151E4C" w:rsidP="00151E4C">
      <w:pPr>
        <w:pStyle w:val="TOC2"/>
        <w:tabs>
          <w:tab w:val="right" w:leader="dot" w:pos="9016"/>
        </w:tabs>
        <w:spacing w:line="480" w:lineRule="auto"/>
        <w:rPr>
          <w:rFonts w:ascii="Open Sans" w:eastAsiaTheme="minorEastAsia" w:hAnsi="Open Sans" w:cs="Open Sans"/>
          <w:smallCaps w:val="0"/>
          <w:noProof/>
          <w:sz w:val="24"/>
          <w:szCs w:val="24"/>
          <w:lang w:eastAsia="en-GB"/>
        </w:rPr>
      </w:pPr>
      <w:hyperlink w:anchor="_Toc205161172" w:history="1">
        <w:r w:rsidRPr="00151E4C">
          <w:rPr>
            <w:rStyle w:val="Hyperlink"/>
            <w:rFonts w:ascii="Open Sans" w:eastAsia="Times New Roman" w:hAnsi="Open Sans" w:cs="Open Sans"/>
            <w:b/>
            <w:bCs/>
            <w:noProof/>
            <w:kern w:val="0"/>
            <w:sz w:val="24"/>
            <w:szCs w:val="24"/>
            <w:lang w:eastAsia="en-GB"/>
            <w14:ligatures w14:val="none"/>
          </w:rPr>
          <w:t>7. Insolvency Safeguards</w:t>
        </w:r>
        <w:r w:rsidRPr="00151E4C">
          <w:rPr>
            <w:rFonts w:ascii="Open Sans" w:hAnsi="Open Sans" w:cs="Open Sans"/>
            <w:noProof/>
            <w:webHidden/>
            <w:sz w:val="24"/>
            <w:szCs w:val="24"/>
          </w:rPr>
          <w:tab/>
        </w:r>
        <w:r w:rsidRPr="00151E4C">
          <w:rPr>
            <w:rFonts w:ascii="Open Sans" w:hAnsi="Open Sans" w:cs="Open Sans"/>
            <w:noProof/>
            <w:webHidden/>
            <w:sz w:val="24"/>
            <w:szCs w:val="24"/>
          </w:rPr>
          <w:fldChar w:fldCharType="begin"/>
        </w:r>
        <w:r w:rsidRPr="00151E4C">
          <w:rPr>
            <w:rFonts w:ascii="Open Sans" w:hAnsi="Open Sans" w:cs="Open Sans"/>
            <w:noProof/>
            <w:webHidden/>
            <w:sz w:val="24"/>
            <w:szCs w:val="24"/>
          </w:rPr>
          <w:instrText xml:space="preserve"> PAGEREF _Toc205161172 \h </w:instrText>
        </w:r>
        <w:r w:rsidRPr="00151E4C">
          <w:rPr>
            <w:rFonts w:ascii="Open Sans" w:hAnsi="Open Sans" w:cs="Open Sans"/>
            <w:noProof/>
            <w:webHidden/>
            <w:sz w:val="24"/>
            <w:szCs w:val="24"/>
          </w:rPr>
        </w:r>
        <w:r w:rsidRPr="00151E4C">
          <w:rPr>
            <w:rFonts w:ascii="Open Sans" w:hAnsi="Open Sans" w:cs="Open Sans"/>
            <w:noProof/>
            <w:webHidden/>
            <w:sz w:val="24"/>
            <w:szCs w:val="24"/>
          </w:rPr>
          <w:fldChar w:fldCharType="separate"/>
        </w:r>
        <w:r w:rsidR="00372454">
          <w:rPr>
            <w:rFonts w:ascii="Open Sans" w:hAnsi="Open Sans" w:cs="Open Sans"/>
            <w:noProof/>
            <w:webHidden/>
            <w:sz w:val="24"/>
            <w:szCs w:val="24"/>
          </w:rPr>
          <w:t>7</w:t>
        </w:r>
        <w:r w:rsidRPr="00151E4C">
          <w:rPr>
            <w:rFonts w:ascii="Open Sans" w:hAnsi="Open Sans" w:cs="Open Sans"/>
            <w:noProof/>
            <w:webHidden/>
            <w:sz w:val="24"/>
            <w:szCs w:val="24"/>
          </w:rPr>
          <w:fldChar w:fldCharType="end"/>
        </w:r>
      </w:hyperlink>
    </w:p>
    <w:p w14:paraId="33E2561C" w14:textId="5624E177" w:rsidR="00151E4C" w:rsidRDefault="00151E4C" w:rsidP="00151E4C">
      <w:pPr>
        <w:pStyle w:val="Heading1"/>
        <w:spacing w:line="480" w:lineRule="auto"/>
        <w:rPr>
          <w:rFonts w:ascii="Open Sans" w:eastAsia="Times New Roman" w:hAnsi="Open Sans" w:cs="Open Sans"/>
          <w:b/>
          <w:bCs/>
          <w:color w:val="auto"/>
          <w:sz w:val="24"/>
          <w:szCs w:val="24"/>
          <w:lang w:eastAsia="en-GB"/>
        </w:rPr>
      </w:pPr>
      <w:r w:rsidRPr="00151E4C">
        <w:rPr>
          <w:rFonts w:ascii="Open Sans" w:eastAsia="Times New Roman" w:hAnsi="Open Sans" w:cs="Open Sans"/>
          <w:b/>
          <w:bCs/>
          <w:color w:val="auto"/>
          <w:sz w:val="24"/>
          <w:szCs w:val="24"/>
          <w:lang w:eastAsia="en-GB"/>
        </w:rPr>
        <w:fldChar w:fldCharType="end"/>
      </w:r>
    </w:p>
    <w:p w14:paraId="3F29C13F" w14:textId="77777777" w:rsidR="00151E4C" w:rsidRDefault="00151E4C" w:rsidP="00151E4C">
      <w:pPr>
        <w:rPr>
          <w:lang w:eastAsia="en-GB"/>
        </w:rPr>
      </w:pPr>
    </w:p>
    <w:p w14:paraId="2AA2E655" w14:textId="77777777" w:rsidR="00151E4C" w:rsidRDefault="00151E4C" w:rsidP="00151E4C">
      <w:pPr>
        <w:rPr>
          <w:lang w:eastAsia="en-GB"/>
        </w:rPr>
      </w:pPr>
    </w:p>
    <w:p w14:paraId="3941AB76" w14:textId="275BB2DF" w:rsidR="00FC073F" w:rsidRPr="00FC073F" w:rsidRDefault="00FC073F" w:rsidP="00FC073F">
      <w:pPr>
        <w:tabs>
          <w:tab w:val="left" w:pos="4013"/>
        </w:tabs>
        <w:rPr>
          <w:lang w:eastAsia="en-GB"/>
        </w:rPr>
      </w:pPr>
      <w:r>
        <w:rPr>
          <w:lang w:eastAsia="en-GB"/>
        </w:rPr>
        <w:tab/>
      </w:r>
    </w:p>
    <w:p w14:paraId="0042CB37" w14:textId="2B4FEA75" w:rsidR="00BE58F7" w:rsidRPr="00875069" w:rsidRDefault="00BE58F7" w:rsidP="00875069">
      <w:pPr>
        <w:pStyle w:val="Heading1"/>
        <w:rPr>
          <w:rFonts w:ascii="Open Sans" w:eastAsia="Times New Roman" w:hAnsi="Open Sans" w:cs="Open Sans"/>
          <w:b/>
          <w:bCs/>
          <w:color w:val="auto"/>
          <w:sz w:val="24"/>
          <w:szCs w:val="24"/>
          <w:lang w:eastAsia="en-GB"/>
        </w:rPr>
      </w:pPr>
      <w:bookmarkStart w:id="0" w:name="_Toc205161157"/>
      <w:r w:rsidRPr="00875069">
        <w:rPr>
          <w:rFonts w:ascii="Open Sans" w:eastAsia="Times New Roman" w:hAnsi="Open Sans" w:cs="Open Sans"/>
          <w:b/>
          <w:bCs/>
          <w:color w:val="auto"/>
          <w:sz w:val="24"/>
          <w:szCs w:val="24"/>
          <w:lang w:eastAsia="en-GB"/>
        </w:rPr>
        <w:lastRenderedPageBreak/>
        <w:t>Executive Summary</w:t>
      </w:r>
      <w:bookmarkEnd w:id="0"/>
    </w:p>
    <w:p w14:paraId="1D7AAA64" w14:textId="77777777" w:rsidR="00BE58F7" w:rsidRPr="00BE58F7" w:rsidRDefault="00BE58F7" w:rsidP="00BE58F7">
      <w:pPr>
        <w:spacing w:after="0" w:line="240" w:lineRule="auto"/>
        <w:jc w:val="both"/>
        <w:rPr>
          <w:rFonts w:ascii="Open Sans" w:eastAsia="Times New Roman" w:hAnsi="Open Sans" w:cs="Open Sans"/>
          <w:kern w:val="0"/>
          <w:sz w:val="24"/>
          <w:szCs w:val="24"/>
          <w:lang w:eastAsia="en-GB"/>
          <w14:ligatures w14:val="none"/>
        </w:rPr>
      </w:pPr>
      <w:r w:rsidRPr="00BE58F7">
        <w:rPr>
          <w:rFonts w:ascii="Open Sans" w:eastAsia="Times New Roman" w:hAnsi="Open Sans" w:cs="Open Sans"/>
          <w:kern w:val="0"/>
          <w:sz w:val="24"/>
          <w:szCs w:val="24"/>
          <w:lang w:eastAsia="en-GB"/>
          <w14:ligatures w14:val="none"/>
        </w:rPr>
        <w:t>FYM Compliance Limited’s safeguarding policy ensures robust protection of customer funds in line with EMR 21, PSR 23 and the FCA’s Approach Document. Under our Option 1 framework:</w:t>
      </w:r>
    </w:p>
    <w:p w14:paraId="05E774A8" w14:textId="77777777" w:rsidR="00BE58F7" w:rsidRPr="00BE58F7" w:rsidRDefault="00BE58F7" w:rsidP="00BE58F7">
      <w:pPr>
        <w:numPr>
          <w:ilvl w:val="0"/>
          <w:numId w:val="20"/>
        </w:numPr>
        <w:spacing w:after="0" w:line="240" w:lineRule="auto"/>
        <w:jc w:val="both"/>
        <w:rPr>
          <w:rFonts w:ascii="Open Sans" w:eastAsia="Times New Roman" w:hAnsi="Open Sans" w:cs="Open Sans"/>
          <w:kern w:val="0"/>
          <w:sz w:val="24"/>
          <w:szCs w:val="24"/>
          <w:lang w:eastAsia="en-GB"/>
          <w14:ligatures w14:val="none"/>
        </w:rPr>
      </w:pPr>
      <w:r w:rsidRPr="00BE58F7">
        <w:rPr>
          <w:rFonts w:ascii="Open Sans" w:eastAsia="Times New Roman" w:hAnsi="Open Sans" w:cs="Open Sans"/>
          <w:kern w:val="0"/>
          <w:sz w:val="24"/>
          <w:szCs w:val="24"/>
          <w:lang w:eastAsia="en-GB"/>
          <w14:ligatures w14:val="none"/>
        </w:rPr>
        <w:t>Segregated Accounts &amp; Approved Investments: All e-money and remittance funds are held in dedicated, FCA-authorised safeguarding accounts—titled “FYM Compliance Limited – Safeguarding Account – [Currency]”—or invested in high-quality liquid assets (CRR Article 114 instruments, AA-rated, with concentration limits) via an authorised custodian.</w:t>
      </w:r>
    </w:p>
    <w:p w14:paraId="1B7306FB" w14:textId="77777777" w:rsidR="00BE58F7" w:rsidRPr="00BE58F7" w:rsidRDefault="00BE58F7" w:rsidP="00BE58F7">
      <w:pPr>
        <w:numPr>
          <w:ilvl w:val="0"/>
          <w:numId w:val="20"/>
        </w:numPr>
        <w:spacing w:after="0" w:line="240" w:lineRule="auto"/>
        <w:jc w:val="both"/>
        <w:rPr>
          <w:rFonts w:ascii="Open Sans" w:eastAsia="Times New Roman" w:hAnsi="Open Sans" w:cs="Open Sans"/>
          <w:kern w:val="0"/>
          <w:sz w:val="24"/>
          <w:szCs w:val="24"/>
          <w:lang w:eastAsia="en-GB"/>
          <w14:ligatures w14:val="none"/>
        </w:rPr>
      </w:pPr>
      <w:r w:rsidRPr="00BE58F7">
        <w:rPr>
          <w:rFonts w:ascii="Open Sans" w:eastAsia="Times New Roman" w:hAnsi="Open Sans" w:cs="Open Sans"/>
          <w:kern w:val="0"/>
          <w:sz w:val="24"/>
          <w:szCs w:val="24"/>
          <w:lang w:eastAsia="en-GB"/>
          <w14:ligatures w14:val="none"/>
        </w:rPr>
        <w:t>Intraday &amp; End-of-Day Segregation: Customer receipts are swept hourly from operating accounts into temporary segregated accounts; by 17:00 GMT, balances are either deposited into safeguarding accounts or invested in pre-approved assets, ensuring zero commingling.</w:t>
      </w:r>
    </w:p>
    <w:p w14:paraId="26DF9CA2" w14:textId="77777777" w:rsidR="00BE58F7" w:rsidRPr="00BE58F7" w:rsidRDefault="00BE58F7" w:rsidP="00BE58F7">
      <w:pPr>
        <w:numPr>
          <w:ilvl w:val="0"/>
          <w:numId w:val="20"/>
        </w:numPr>
        <w:spacing w:after="0" w:line="240" w:lineRule="auto"/>
        <w:jc w:val="both"/>
        <w:rPr>
          <w:rFonts w:ascii="Open Sans" w:eastAsia="Times New Roman" w:hAnsi="Open Sans" w:cs="Open Sans"/>
          <w:kern w:val="0"/>
          <w:sz w:val="24"/>
          <w:szCs w:val="24"/>
          <w:lang w:eastAsia="en-GB"/>
          <w14:ligatures w14:val="none"/>
        </w:rPr>
      </w:pPr>
      <w:r w:rsidRPr="00BE58F7">
        <w:rPr>
          <w:rFonts w:ascii="Open Sans" w:eastAsia="Times New Roman" w:hAnsi="Open Sans" w:cs="Open Sans"/>
          <w:kern w:val="0"/>
          <w:sz w:val="24"/>
          <w:szCs w:val="24"/>
          <w:lang w:eastAsia="en-GB"/>
          <w14:ligatures w14:val="none"/>
        </w:rPr>
        <w:t>Daily Reconciliation &amp; Rapid Resolution: We reconcile internal ledgers against bank and custodian statements at least once per business day, with multi-currency checks and a 09:00 GMT cut-off. Any shortfall over £1 000 triggers an alert and top-up within 2 hours; excess funds are returned immediately to operations.</w:t>
      </w:r>
    </w:p>
    <w:p w14:paraId="6B88B755" w14:textId="77777777" w:rsidR="00BE58F7" w:rsidRPr="00BE58F7" w:rsidRDefault="00BE58F7" w:rsidP="00BE58F7">
      <w:pPr>
        <w:numPr>
          <w:ilvl w:val="0"/>
          <w:numId w:val="20"/>
        </w:numPr>
        <w:spacing w:after="0" w:line="240" w:lineRule="auto"/>
        <w:jc w:val="both"/>
        <w:rPr>
          <w:rFonts w:ascii="Open Sans" w:eastAsia="Times New Roman" w:hAnsi="Open Sans" w:cs="Open Sans"/>
          <w:kern w:val="0"/>
          <w:sz w:val="24"/>
          <w:szCs w:val="24"/>
          <w:lang w:eastAsia="en-GB"/>
          <w14:ligatures w14:val="none"/>
        </w:rPr>
      </w:pPr>
      <w:r w:rsidRPr="00BE58F7">
        <w:rPr>
          <w:rFonts w:ascii="Open Sans" w:eastAsia="Times New Roman" w:hAnsi="Open Sans" w:cs="Open Sans"/>
          <w:kern w:val="0"/>
          <w:sz w:val="24"/>
          <w:szCs w:val="24"/>
          <w:lang w:eastAsia="en-GB"/>
          <w14:ligatures w14:val="none"/>
        </w:rPr>
        <w:t>Stringent Governance &amp; Audit: The Operations Manager and Finance Lead co-sign off on daily reconciliations; the MLRO reports monthly to the Board Risk Committee. Quarterly internal audits and annual external reviews validate adherence to safeguarding controls.</w:t>
      </w:r>
    </w:p>
    <w:p w14:paraId="76EE38D4" w14:textId="77777777" w:rsidR="00BE58F7" w:rsidRPr="00BE58F7" w:rsidRDefault="00BE58F7" w:rsidP="00BE58F7">
      <w:pPr>
        <w:numPr>
          <w:ilvl w:val="0"/>
          <w:numId w:val="20"/>
        </w:numPr>
        <w:spacing w:after="0" w:line="240" w:lineRule="auto"/>
        <w:jc w:val="both"/>
        <w:rPr>
          <w:rFonts w:ascii="Open Sans" w:eastAsia="Times New Roman" w:hAnsi="Open Sans" w:cs="Open Sans"/>
          <w:kern w:val="0"/>
          <w:sz w:val="24"/>
          <w:szCs w:val="24"/>
          <w:lang w:eastAsia="en-GB"/>
          <w14:ligatures w14:val="none"/>
        </w:rPr>
      </w:pPr>
      <w:r w:rsidRPr="00BE58F7">
        <w:rPr>
          <w:rFonts w:ascii="Open Sans" w:eastAsia="Times New Roman" w:hAnsi="Open Sans" w:cs="Open Sans"/>
          <w:kern w:val="0"/>
          <w:sz w:val="24"/>
          <w:szCs w:val="24"/>
          <w:lang w:eastAsia="en-GB"/>
          <w14:ligatures w14:val="none"/>
        </w:rPr>
        <w:t>Agent &amp; Insolvency Protections: Agents follow identical segregation and reconciliation protocols under binding master agreements. In insolvency, all safeguarded assets form a protected pool ranking ahead of other creditors, with no set-off rights.</w:t>
      </w:r>
    </w:p>
    <w:p w14:paraId="2C070E15" w14:textId="62D20346" w:rsidR="00BE58F7" w:rsidRPr="00BE58F7" w:rsidRDefault="00BE58F7" w:rsidP="00BE58F7">
      <w:pPr>
        <w:spacing w:after="0" w:line="240" w:lineRule="auto"/>
        <w:jc w:val="both"/>
        <w:rPr>
          <w:rFonts w:ascii="Open Sans" w:eastAsia="Times New Roman" w:hAnsi="Open Sans" w:cs="Open Sans"/>
          <w:kern w:val="0"/>
          <w:sz w:val="24"/>
          <w:szCs w:val="24"/>
          <w:lang w:eastAsia="en-GB"/>
          <w14:ligatures w14:val="none"/>
        </w:rPr>
      </w:pPr>
      <w:r w:rsidRPr="00BE58F7">
        <w:rPr>
          <w:rFonts w:ascii="Open Sans" w:eastAsia="Times New Roman" w:hAnsi="Open Sans" w:cs="Open Sans"/>
          <w:kern w:val="0"/>
          <w:sz w:val="24"/>
          <w:szCs w:val="24"/>
          <w:lang w:eastAsia="en-GB"/>
          <w14:ligatures w14:val="none"/>
        </w:rPr>
        <w:t xml:space="preserve">This policy delivers end-to-end assurance that FYM’s safeguarded funds remain fully secure, liquid and </w:t>
      </w:r>
      <w:r w:rsidR="00875069" w:rsidRPr="00875069">
        <w:rPr>
          <w:rFonts w:ascii="Open Sans" w:eastAsia="Times New Roman" w:hAnsi="Open Sans" w:cs="Open Sans"/>
          <w:kern w:val="0"/>
          <w:sz w:val="24"/>
          <w:szCs w:val="24"/>
          <w:lang w:eastAsia="en-GB"/>
          <w14:ligatures w14:val="none"/>
        </w:rPr>
        <w:t>available demonstrating</w:t>
      </w:r>
      <w:r w:rsidRPr="00BE58F7">
        <w:rPr>
          <w:rFonts w:ascii="Open Sans" w:eastAsia="Times New Roman" w:hAnsi="Open Sans" w:cs="Open Sans"/>
          <w:kern w:val="0"/>
          <w:sz w:val="24"/>
          <w:szCs w:val="24"/>
          <w:lang w:eastAsia="en-GB"/>
          <w14:ligatures w14:val="none"/>
        </w:rPr>
        <w:t xml:space="preserve"> to the FCA our unwavering commitment to consumer protection and regulatory compliance.</w:t>
      </w:r>
    </w:p>
    <w:p w14:paraId="4C8F3499" w14:textId="77777777"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4963B087"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690F505F"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7952E26D"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40172C34"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40977B2C"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230C4F7E"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36B536DB"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47D34FE4"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4F73313F"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5F95A645"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49C2EE2C" w14:textId="77777777" w:rsidR="00BE58F7" w:rsidRPr="00AD6DA0"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5BBA0C3F" w14:textId="77777777" w:rsidR="00AD6DA0" w:rsidRPr="00AD6DA0" w:rsidRDefault="00AD6DA0" w:rsidP="00AD6DA0">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 w:name="_Toc205161158"/>
      <w:r w:rsidRPr="00AD6DA0">
        <w:rPr>
          <w:rFonts w:ascii="Open Sans" w:eastAsia="Times New Roman" w:hAnsi="Open Sans" w:cs="Open Sans"/>
          <w:b/>
          <w:bCs/>
          <w:kern w:val="0"/>
          <w:sz w:val="24"/>
          <w:szCs w:val="24"/>
          <w:lang w:eastAsia="en-GB"/>
          <w14:ligatures w14:val="none"/>
        </w:rPr>
        <w:lastRenderedPageBreak/>
        <w:t>1. Introduction &amp; Regulatory Context</w:t>
      </w:r>
      <w:bookmarkEnd w:id="1"/>
    </w:p>
    <w:p w14:paraId="0B74B976"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 xml:space="preserve">Under the Electronic Money Regulations 2011 (EMRs) and Payment Services Regulations 2017 (PSRs), Small Electronic Money Institutions (SEMIs) must safeguard customer funds to ensure they remain available—even in the event of insolvency. FYM Compliance Limited adopts </w:t>
      </w:r>
      <w:r w:rsidRPr="00AD6DA0">
        <w:rPr>
          <w:rFonts w:ascii="Open Sans" w:eastAsia="Times New Roman" w:hAnsi="Open Sans" w:cs="Open Sans"/>
          <w:b/>
          <w:bCs/>
          <w:kern w:val="0"/>
          <w:sz w:val="24"/>
          <w:szCs w:val="24"/>
          <w:lang w:eastAsia="en-GB"/>
          <w14:ligatures w14:val="none"/>
        </w:rPr>
        <w:t>Option 1</w:t>
      </w:r>
      <w:r w:rsidRPr="00AD6DA0">
        <w:rPr>
          <w:rFonts w:ascii="Open Sans" w:eastAsia="Times New Roman" w:hAnsi="Open Sans" w:cs="Open Sans"/>
          <w:kern w:val="0"/>
          <w:sz w:val="24"/>
          <w:szCs w:val="24"/>
          <w:lang w:eastAsia="en-GB"/>
          <w14:ligatures w14:val="none"/>
        </w:rPr>
        <w:t xml:space="preserve"> safeguarding for both e-money issuance and remittance pre-funds, in full compliance with:</w:t>
      </w:r>
    </w:p>
    <w:p w14:paraId="17FB9EEA" w14:textId="77777777" w:rsidR="00AD6DA0" w:rsidRPr="00AD6DA0" w:rsidRDefault="00AD6DA0" w:rsidP="00AD6DA0">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EMR Regulation 21(6)(b): Requirements for investment of safeguarded e-money funds.</w:t>
      </w:r>
    </w:p>
    <w:p w14:paraId="2B0C2F95" w14:textId="77777777" w:rsidR="00AD6DA0" w:rsidRPr="00AD6DA0" w:rsidRDefault="00AD6DA0" w:rsidP="00AD6DA0">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PSR Regulation 23: Parallel safeguarding obligations for payment-service client funds.</w:t>
      </w:r>
    </w:p>
    <w:p w14:paraId="0D8A1FEE" w14:textId="77777777" w:rsidR="00AD6DA0" w:rsidRPr="00AD6DA0" w:rsidRDefault="00AD6DA0" w:rsidP="00AD6DA0">
      <w:pPr>
        <w:numPr>
          <w:ilvl w:val="0"/>
          <w:numId w:val="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FCA Approach Document (Nov 2024), Chapters 3 &amp; 10: Detailed guidance on safeguarding architectures and operational controls.</w:t>
      </w:r>
    </w:p>
    <w:p w14:paraId="06F794CD"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This policy sets out our permitted investments, custody arrangements, segregation processes, reconciliation methodologies, governance oversight and insolvency protections.</w:t>
      </w:r>
    </w:p>
    <w:p w14:paraId="63143DCF" w14:textId="7ACB6D25" w:rsidR="00AD6DA0" w:rsidRPr="00AD6DA0"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1A941707" w14:textId="77777777" w:rsidR="00AD6DA0" w:rsidRPr="00AD6DA0" w:rsidRDefault="00AD6DA0" w:rsidP="00AD6DA0">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2" w:name="_Toc205161159"/>
      <w:r w:rsidRPr="00AD6DA0">
        <w:rPr>
          <w:rFonts w:ascii="Open Sans" w:eastAsia="Times New Roman" w:hAnsi="Open Sans" w:cs="Open Sans"/>
          <w:b/>
          <w:bCs/>
          <w:kern w:val="0"/>
          <w:sz w:val="24"/>
          <w:szCs w:val="24"/>
          <w:lang w:eastAsia="en-GB"/>
          <w14:ligatures w14:val="none"/>
        </w:rPr>
        <w:t>2. Investment Policy for Safeguarded Funds</w:t>
      </w:r>
      <w:bookmarkEnd w:id="2"/>
    </w:p>
    <w:p w14:paraId="3E441F71"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3" w:name="_Toc205161160"/>
      <w:r w:rsidRPr="00AD6DA0">
        <w:rPr>
          <w:rFonts w:ascii="Open Sans" w:eastAsia="Times New Roman" w:hAnsi="Open Sans" w:cs="Open Sans"/>
          <w:kern w:val="0"/>
          <w:sz w:val="24"/>
          <w:szCs w:val="24"/>
          <w:lang w:eastAsia="en-GB"/>
          <w14:ligatures w14:val="none"/>
        </w:rPr>
        <w:t>2.1 Permitted Assets</w:t>
      </w:r>
      <w:bookmarkEnd w:id="3"/>
    </w:p>
    <w:p w14:paraId="5676F8DB"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Per EMR 21(6)(b) and PSR 23(2), FYM may invest relevant funds only in:</w:t>
      </w:r>
    </w:p>
    <w:p w14:paraId="2D35DC5A" w14:textId="77777777" w:rsidR="00AD6DA0" w:rsidRPr="00AD6DA0" w:rsidRDefault="00AD6DA0" w:rsidP="00AD6DA0">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High-Quality Liquid Assets (HQLA):</w:t>
      </w:r>
    </w:p>
    <w:p w14:paraId="065326AA" w14:textId="77777777" w:rsidR="00AD6DA0" w:rsidRPr="00AD6DA0" w:rsidRDefault="00AD6DA0" w:rsidP="00AD6DA0">
      <w:pPr>
        <w:numPr>
          <w:ilvl w:val="1"/>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Government and supranational bonds listed under CRR Article 114 (0 % risk weight).</w:t>
      </w:r>
    </w:p>
    <w:p w14:paraId="3EFF038D" w14:textId="77777777" w:rsidR="00AD6DA0" w:rsidRPr="00AD6DA0" w:rsidRDefault="00AD6DA0" w:rsidP="00AD6DA0">
      <w:pPr>
        <w:numPr>
          <w:ilvl w:val="0"/>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UCITS Funds:</w:t>
      </w:r>
    </w:p>
    <w:p w14:paraId="5838101D" w14:textId="77777777" w:rsidR="00AD6DA0" w:rsidRPr="00AD6DA0" w:rsidRDefault="00AD6DA0" w:rsidP="00AD6DA0">
      <w:pPr>
        <w:numPr>
          <w:ilvl w:val="1"/>
          <w:numId w:val="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Units that invest exclusively in the above HQLA instruments.</w:t>
      </w:r>
    </w:p>
    <w:p w14:paraId="79CF04D8"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Risk Controls:</w:t>
      </w:r>
    </w:p>
    <w:p w14:paraId="15F9CA48" w14:textId="77777777" w:rsidR="00AD6DA0" w:rsidRPr="00AD6DA0" w:rsidRDefault="00AD6DA0" w:rsidP="00AD6DA0">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No single issuer exposure &gt; 10 % of total safeguarded portfolio.</w:t>
      </w:r>
    </w:p>
    <w:p w14:paraId="2AD1F0B8" w14:textId="77777777" w:rsidR="00AD6DA0" w:rsidRPr="00875069" w:rsidRDefault="00AD6DA0" w:rsidP="00AD6DA0">
      <w:pPr>
        <w:numPr>
          <w:ilvl w:val="0"/>
          <w:numId w:val="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Minimum credit rating of AA for all holdings.</w:t>
      </w:r>
    </w:p>
    <w:p w14:paraId="7B10C39A" w14:textId="77777777" w:rsid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3C08057D" w14:textId="77777777" w:rsidR="00151E4C" w:rsidRPr="00875069" w:rsidRDefault="00151E4C"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4C3805BA"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530C7E09"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b/>
          <w:bCs/>
          <w:kern w:val="0"/>
          <w:sz w:val="24"/>
          <w:szCs w:val="24"/>
          <w:lang w:eastAsia="en-GB"/>
          <w14:ligatures w14:val="none"/>
        </w:rPr>
      </w:pPr>
      <w:bookmarkStart w:id="4" w:name="_Toc205161161"/>
      <w:r w:rsidRPr="00AD6DA0">
        <w:rPr>
          <w:rFonts w:ascii="Open Sans" w:eastAsia="Times New Roman" w:hAnsi="Open Sans" w:cs="Open Sans"/>
          <w:b/>
          <w:bCs/>
          <w:kern w:val="0"/>
          <w:sz w:val="24"/>
          <w:szCs w:val="24"/>
          <w:lang w:eastAsia="en-GB"/>
          <w14:ligatures w14:val="none"/>
        </w:rPr>
        <w:lastRenderedPageBreak/>
        <w:t>2.2 FCA Approval for Additional Assets</w:t>
      </w:r>
      <w:bookmarkEnd w:id="4"/>
    </w:p>
    <w:p w14:paraId="214C0C24"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Should market conditions warrant other liquid instruments (e.g. high-grade commercial paper), FYM will:</w:t>
      </w:r>
    </w:p>
    <w:p w14:paraId="7D7A97FE" w14:textId="77777777" w:rsidR="00AD6DA0" w:rsidRPr="00AD6DA0" w:rsidRDefault="00AD6DA0" w:rsidP="00AD6DA0">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Prepare a Business Case demonstrating consumer-protection equivalence.</w:t>
      </w:r>
    </w:p>
    <w:p w14:paraId="6325E016" w14:textId="77777777" w:rsidR="00AD6DA0" w:rsidRPr="00AD6DA0" w:rsidRDefault="00AD6DA0" w:rsidP="00AD6DA0">
      <w:pPr>
        <w:numPr>
          <w:ilvl w:val="0"/>
          <w:numId w:val="10"/>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Submit to the FCA for approval before investing.</w:t>
      </w:r>
    </w:p>
    <w:p w14:paraId="3F128CBA" w14:textId="69272DDC" w:rsidR="00AD6DA0" w:rsidRPr="00AD6DA0"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45AD8227" w14:textId="77777777" w:rsidR="00AD6DA0" w:rsidRPr="00AD6DA0" w:rsidRDefault="00AD6DA0" w:rsidP="00AD6DA0">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5" w:name="_Toc205161162"/>
      <w:r w:rsidRPr="00AD6DA0">
        <w:rPr>
          <w:rFonts w:ascii="Open Sans" w:eastAsia="Times New Roman" w:hAnsi="Open Sans" w:cs="Open Sans"/>
          <w:b/>
          <w:bCs/>
          <w:kern w:val="0"/>
          <w:sz w:val="24"/>
          <w:szCs w:val="24"/>
          <w:lang w:eastAsia="en-GB"/>
          <w14:ligatures w14:val="none"/>
        </w:rPr>
        <w:t>3. Custody &amp; Segregation Arrangements</w:t>
      </w:r>
      <w:bookmarkEnd w:id="5"/>
    </w:p>
    <w:p w14:paraId="2C66F00E"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6" w:name="_Toc205161163"/>
      <w:r w:rsidRPr="00AD6DA0">
        <w:rPr>
          <w:rFonts w:ascii="Open Sans" w:eastAsia="Times New Roman" w:hAnsi="Open Sans" w:cs="Open Sans"/>
          <w:kern w:val="0"/>
          <w:sz w:val="24"/>
          <w:szCs w:val="24"/>
          <w:lang w:eastAsia="en-GB"/>
          <w14:ligatures w14:val="none"/>
        </w:rPr>
        <w:t>3.1 Dedicated Safeguarding Accounts</w:t>
      </w:r>
      <w:bookmarkEnd w:id="6"/>
    </w:p>
    <w:p w14:paraId="0414136B"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FYM holds all customer funds in segregated accounts titled:</w:t>
      </w:r>
    </w:p>
    <w:p w14:paraId="1139AA8B"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“FYM Compliance Limited – Safeguarding Account – [Currency]”</w:t>
      </w:r>
    </w:p>
    <w:p w14:paraId="6C505296"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Accounts are opened only with:</w:t>
      </w:r>
    </w:p>
    <w:p w14:paraId="607D3841" w14:textId="77777777" w:rsidR="00AD6DA0" w:rsidRPr="00AD6DA0" w:rsidRDefault="00AD6DA0" w:rsidP="00AD6DA0">
      <w:pPr>
        <w:numPr>
          <w:ilvl w:val="0"/>
          <w:numId w:val="1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UK banks or building societies authorised by the FCA, or</w:t>
      </w:r>
    </w:p>
    <w:p w14:paraId="3EE407E1" w14:textId="77777777" w:rsidR="00AD6DA0" w:rsidRPr="00AD6DA0" w:rsidRDefault="00AD6DA0" w:rsidP="00AD6DA0">
      <w:pPr>
        <w:numPr>
          <w:ilvl w:val="0"/>
          <w:numId w:val="11"/>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OECD credit institutions meeting FCA credit-worthiness criteria.</w:t>
      </w:r>
    </w:p>
    <w:p w14:paraId="4D0F1CA7"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7" w:name="_Toc205161164"/>
      <w:r w:rsidRPr="00AD6DA0">
        <w:rPr>
          <w:rFonts w:ascii="Open Sans" w:eastAsia="Times New Roman" w:hAnsi="Open Sans" w:cs="Open Sans"/>
          <w:kern w:val="0"/>
          <w:sz w:val="24"/>
          <w:szCs w:val="24"/>
          <w:lang w:eastAsia="en-GB"/>
          <w14:ligatures w14:val="none"/>
        </w:rPr>
        <w:t>3.2 Intraday Segregation Process</w:t>
      </w:r>
      <w:bookmarkEnd w:id="7"/>
    </w:p>
    <w:p w14:paraId="57CB0B4F" w14:textId="77777777" w:rsidR="00AD6DA0" w:rsidRPr="00AD6DA0" w:rsidRDefault="00AD6DA0" w:rsidP="00AD6DA0">
      <w:pPr>
        <w:numPr>
          <w:ilvl w:val="0"/>
          <w:numId w:val="1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Receipt Capture: All incoming payments (top-ups or remittance pre-funds) land in a daily operational sweep account.</w:t>
      </w:r>
    </w:p>
    <w:p w14:paraId="237DAAF8" w14:textId="77777777" w:rsidR="00AD6DA0" w:rsidRPr="00AD6DA0" w:rsidRDefault="00AD6DA0" w:rsidP="00AD6DA0">
      <w:pPr>
        <w:numPr>
          <w:ilvl w:val="0"/>
          <w:numId w:val="1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Hourly Sweep: Any positive balance is swept into a temporary segregated account under FYM’s control. Bank fees, if any, are swept back out intraday to prevent commingling.</w:t>
      </w:r>
    </w:p>
    <w:p w14:paraId="2714BAB2" w14:textId="77777777" w:rsidR="00AD6DA0" w:rsidRPr="00AD6DA0" w:rsidRDefault="00AD6DA0" w:rsidP="00AD6DA0">
      <w:pPr>
        <w:numPr>
          <w:ilvl w:val="0"/>
          <w:numId w:val="1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End-Of-Day Allocation (by 17:00 GMT):</w:t>
      </w:r>
    </w:p>
    <w:p w14:paraId="614B06E5" w14:textId="77777777" w:rsidR="00AD6DA0" w:rsidRPr="00AD6DA0" w:rsidRDefault="00AD6DA0" w:rsidP="00AD6DA0">
      <w:pPr>
        <w:numPr>
          <w:ilvl w:val="1"/>
          <w:numId w:val="1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Transfer remaining temporary balances into the dedicated safeguarding account(s).</w:t>
      </w:r>
    </w:p>
    <w:p w14:paraId="16545CEE" w14:textId="77777777" w:rsidR="00AD6DA0" w:rsidRPr="00AD6DA0" w:rsidRDefault="00AD6DA0" w:rsidP="00AD6DA0">
      <w:pPr>
        <w:numPr>
          <w:ilvl w:val="1"/>
          <w:numId w:val="12"/>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Where investments are used, allocate into pre-approved liquid assets via our FCA-authorised custodian.</w:t>
      </w:r>
    </w:p>
    <w:p w14:paraId="3D7DD2DB" w14:textId="1F172FDC" w:rsidR="00AD6DA0" w:rsidRPr="00875069"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43684FA3"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5E7132DF"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61EC7B33" w14:textId="77777777" w:rsidR="00BE58F7"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74303A32" w14:textId="77777777" w:rsidR="00151E4C" w:rsidRPr="00875069" w:rsidRDefault="00151E4C" w:rsidP="00AD6DA0">
      <w:pPr>
        <w:spacing w:after="0" w:line="240" w:lineRule="auto"/>
        <w:jc w:val="both"/>
        <w:rPr>
          <w:rFonts w:ascii="Open Sans" w:eastAsia="Times New Roman" w:hAnsi="Open Sans" w:cs="Open Sans"/>
          <w:kern w:val="0"/>
          <w:sz w:val="24"/>
          <w:szCs w:val="24"/>
          <w:lang w:eastAsia="en-GB"/>
          <w14:ligatures w14:val="none"/>
        </w:rPr>
      </w:pPr>
    </w:p>
    <w:p w14:paraId="3CA20AF7" w14:textId="77777777" w:rsidR="00BE58F7" w:rsidRPr="00875069"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14B580B5" w14:textId="77777777" w:rsidR="00BE58F7" w:rsidRPr="00AD6DA0" w:rsidRDefault="00BE58F7" w:rsidP="00AD6DA0">
      <w:pPr>
        <w:spacing w:after="0" w:line="240" w:lineRule="auto"/>
        <w:jc w:val="both"/>
        <w:rPr>
          <w:rFonts w:ascii="Open Sans" w:eastAsia="Times New Roman" w:hAnsi="Open Sans" w:cs="Open Sans"/>
          <w:kern w:val="0"/>
          <w:sz w:val="24"/>
          <w:szCs w:val="24"/>
          <w:lang w:eastAsia="en-GB"/>
          <w14:ligatures w14:val="none"/>
        </w:rPr>
      </w:pPr>
    </w:p>
    <w:p w14:paraId="1F0EDE79" w14:textId="77777777" w:rsidR="00AD6DA0" w:rsidRPr="00AD6DA0" w:rsidRDefault="00AD6DA0" w:rsidP="00AD6DA0">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8" w:name="_Toc205161165"/>
      <w:r w:rsidRPr="00AD6DA0">
        <w:rPr>
          <w:rFonts w:ascii="Open Sans" w:eastAsia="Times New Roman" w:hAnsi="Open Sans" w:cs="Open Sans"/>
          <w:b/>
          <w:bCs/>
          <w:kern w:val="0"/>
          <w:sz w:val="24"/>
          <w:szCs w:val="24"/>
          <w:lang w:eastAsia="en-GB"/>
          <w14:ligatures w14:val="none"/>
        </w:rPr>
        <w:lastRenderedPageBreak/>
        <w:t>4. Daily Reconciliation &amp; Discrepancy Resolution</w:t>
      </w:r>
      <w:bookmarkEnd w:id="8"/>
    </w:p>
    <w:p w14:paraId="1879834E"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9" w:name="_Toc205161166"/>
      <w:r w:rsidRPr="00AD6DA0">
        <w:rPr>
          <w:rFonts w:ascii="Open Sans" w:eastAsia="Times New Roman" w:hAnsi="Open Sans" w:cs="Open Sans"/>
          <w:kern w:val="0"/>
          <w:sz w:val="24"/>
          <w:szCs w:val="24"/>
          <w:lang w:eastAsia="en-GB"/>
          <w14:ligatures w14:val="none"/>
        </w:rPr>
        <w:t>4.1 Reconciliation Procedures</w:t>
      </w:r>
      <w:bookmarkEnd w:id="9"/>
    </w:p>
    <w:p w14:paraId="08AEF56C" w14:textId="77777777" w:rsidR="00AD6DA0" w:rsidRPr="00AD6DA0" w:rsidRDefault="00AD6DA0" w:rsidP="00AD6DA0">
      <w:pPr>
        <w:numPr>
          <w:ilvl w:val="0"/>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Frequency: At least once per business day, with a formal cut-off at 09:00 GMT.</w:t>
      </w:r>
    </w:p>
    <w:p w14:paraId="3B09D88C" w14:textId="77777777" w:rsidR="00AD6DA0" w:rsidRPr="00AD6DA0" w:rsidRDefault="00AD6DA0" w:rsidP="00AD6DA0">
      <w:pPr>
        <w:numPr>
          <w:ilvl w:val="0"/>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Data Sources:</w:t>
      </w:r>
    </w:p>
    <w:p w14:paraId="03C54210" w14:textId="77777777" w:rsidR="00AD6DA0" w:rsidRPr="00AD6DA0" w:rsidRDefault="00AD6DA0" w:rsidP="00AD6DA0">
      <w:pPr>
        <w:numPr>
          <w:ilvl w:val="1"/>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Internal Ledger: Total customer receipts and outstanding e-money and remittance liabilities by currency.</w:t>
      </w:r>
    </w:p>
    <w:p w14:paraId="41841310" w14:textId="77777777" w:rsidR="00AD6DA0" w:rsidRPr="00AD6DA0" w:rsidRDefault="00AD6DA0" w:rsidP="00AD6DA0">
      <w:pPr>
        <w:numPr>
          <w:ilvl w:val="1"/>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External Statements: Bank and custodian balances via secure APIs or SFTP.</w:t>
      </w:r>
    </w:p>
    <w:p w14:paraId="02DC2FF2" w14:textId="77777777" w:rsidR="00AD6DA0" w:rsidRPr="00AD6DA0" w:rsidRDefault="00AD6DA0" w:rsidP="00AD6DA0">
      <w:pPr>
        <w:numPr>
          <w:ilvl w:val="0"/>
          <w:numId w:val="13"/>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Checks Performed:</w:t>
      </w:r>
    </w:p>
    <w:p w14:paraId="5428164D" w14:textId="77777777" w:rsidR="00AD6DA0" w:rsidRPr="00AD6DA0" w:rsidRDefault="00AD6DA0" w:rsidP="00AD6DA0">
      <w:pPr>
        <w:numPr>
          <w:ilvl w:val="1"/>
          <w:numId w:val="14"/>
        </w:numPr>
        <w:spacing w:before="100" w:beforeAutospacing="1" w:after="100" w:afterAutospacing="1" w:line="240" w:lineRule="auto"/>
        <w:ind w:left="1440" w:hanging="360"/>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Receipts vs. Safeguarded Balances: Ensure cumulative customer inflows equal account/custodian holdings.</w:t>
      </w:r>
    </w:p>
    <w:p w14:paraId="20EC7B71" w14:textId="77777777" w:rsidR="00AD6DA0" w:rsidRPr="00AD6DA0" w:rsidRDefault="00AD6DA0" w:rsidP="00AD6DA0">
      <w:pPr>
        <w:numPr>
          <w:ilvl w:val="1"/>
          <w:numId w:val="14"/>
        </w:numPr>
        <w:spacing w:before="100" w:beforeAutospacing="1" w:after="100" w:afterAutospacing="1" w:line="240" w:lineRule="auto"/>
        <w:ind w:left="1440" w:hanging="360"/>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Liabilities vs. Holdings: Confirm total outstanding float (e-money) ≤ safeguarded assets.</w:t>
      </w:r>
    </w:p>
    <w:p w14:paraId="2B486502"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10" w:name="_Toc205161167"/>
      <w:r w:rsidRPr="00AD6DA0">
        <w:rPr>
          <w:rFonts w:ascii="Open Sans" w:eastAsia="Times New Roman" w:hAnsi="Open Sans" w:cs="Open Sans"/>
          <w:kern w:val="0"/>
          <w:sz w:val="24"/>
          <w:szCs w:val="24"/>
          <w:lang w:eastAsia="en-GB"/>
          <w14:ligatures w14:val="none"/>
        </w:rPr>
        <w:t>4.2 Discrepancy Management</w:t>
      </w:r>
      <w:bookmarkEnd w:id="10"/>
    </w:p>
    <w:p w14:paraId="1357D818" w14:textId="77777777" w:rsidR="00AD6DA0" w:rsidRPr="00AD6DA0" w:rsidRDefault="00AD6DA0" w:rsidP="00AD6DA0">
      <w:pPr>
        <w:numPr>
          <w:ilvl w:val="0"/>
          <w:numId w:val="1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Shortfalls (&gt;£1 000):</w:t>
      </w:r>
    </w:p>
    <w:p w14:paraId="2C09C672" w14:textId="77777777" w:rsidR="00AD6DA0" w:rsidRPr="00AD6DA0" w:rsidRDefault="00AD6DA0" w:rsidP="00AD6DA0">
      <w:pPr>
        <w:numPr>
          <w:ilvl w:val="1"/>
          <w:numId w:val="1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Alert: Automatic notification to the Treasury Desk and MLRO.</w:t>
      </w:r>
    </w:p>
    <w:p w14:paraId="0E0EBFF6" w14:textId="77777777" w:rsidR="00AD6DA0" w:rsidRPr="00AD6DA0" w:rsidRDefault="00AD6DA0" w:rsidP="00AD6DA0">
      <w:pPr>
        <w:numPr>
          <w:ilvl w:val="1"/>
          <w:numId w:val="1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Top-Up: Fund the shortfall from operating cash within 2 hours.</w:t>
      </w:r>
    </w:p>
    <w:p w14:paraId="66E6EAD9" w14:textId="77777777" w:rsidR="00AD6DA0" w:rsidRPr="00AD6DA0" w:rsidRDefault="00AD6DA0" w:rsidP="00AD6DA0">
      <w:pPr>
        <w:numPr>
          <w:ilvl w:val="1"/>
          <w:numId w:val="1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Log: Record root cause, corrective action and sign-off in the Discrepancy Register.</w:t>
      </w:r>
    </w:p>
    <w:p w14:paraId="43CC86A9" w14:textId="77777777" w:rsidR="00AD6DA0" w:rsidRPr="00AD6DA0" w:rsidRDefault="00AD6DA0" w:rsidP="00AD6DA0">
      <w:pPr>
        <w:numPr>
          <w:ilvl w:val="0"/>
          <w:numId w:val="1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Excess Funds:</w:t>
      </w:r>
    </w:p>
    <w:p w14:paraId="1856D697" w14:textId="77777777" w:rsidR="00AD6DA0" w:rsidRPr="00AD6DA0" w:rsidRDefault="00AD6DA0" w:rsidP="00AD6DA0">
      <w:pPr>
        <w:numPr>
          <w:ilvl w:val="1"/>
          <w:numId w:val="1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Sweep Back to operating account.</w:t>
      </w:r>
    </w:p>
    <w:p w14:paraId="1A9855C4" w14:textId="4FAB555C" w:rsidR="00AD6DA0" w:rsidRDefault="00AD6DA0" w:rsidP="00151E4C">
      <w:pPr>
        <w:numPr>
          <w:ilvl w:val="1"/>
          <w:numId w:val="15"/>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Document withdrawal amount and reason.</w:t>
      </w:r>
    </w:p>
    <w:p w14:paraId="41772207" w14:textId="77777777" w:rsidR="00151E4C" w:rsidRDefault="00151E4C" w:rsidP="00151E4C">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0501EA37" w14:textId="77777777" w:rsidR="00151E4C" w:rsidRDefault="00151E4C" w:rsidP="00151E4C">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34E38C58" w14:textId="77777777" w:rsidR="00151E4C" w:rsidRPr="00AD6DA0" w:rsidRDefault="00151E4C" w:rsidP="00151E4C">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p>
    <w:p w14:paraId="611EF733" w14:textId="77777777" w:rsidR="00AD6DA0" w:rsidRPr="00AD6DA0" w:rsidRDefault="00AD6DA0" w:rsidP="00AD6DA0">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1" w:name="_Toc205161168"/>
      <w:r w:rsidRPr="00AD6DA0">
        <w:rPr>
          <w:rFonts w:ascii="Open Sans" w:eastAsia="Times New Roman" w:hAnsi="Open Sans" w:cs="Open Sans"/>
          <w:b/>
          <w:bCs/>
          <w:kern w:val="0"/>
          <w:sz w:val="24"/>
          <w:szCs w:val="24"/>
          <w:lang w:eastAsia="en-GB"/>
          <w14:ligatures w14:val="none"/>
        </w:rPr>
        <w:t>5. Governance &amp; Oversight</w:t>
      </w:r>
      <w:bookmarkEnd w:id="11"/>
    </w:p>
    <w:p w14:paraId="7BFE45CD"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12" w:name="_Toc205161169"/>
      <w:r w:rsidRPr="00AD6DA0">
        <w:rPr>
          <w:rFonts w:ascii="Open Sans" w:eastAsia="Times New Roman" w:hAnsi="Open Sans" w:cs="Open Sans"/>
          <w:kern w:val="0"/>
          <w:sz w:val="24"/>
          <w:szCs w:val="24"/>
          <w:lang w:eastAsia="en-GB"/>
          <w14:ligatures w14:val="none"/>
        </w:rPr>
        <w:t>5.1 Daily &amp; Monthly Controls</w:t>
      </w:r>
      <w:bookmarkEnd w:id="12"/>
    </w:p>
    <w:p w14:paraId="64C8C75A" w14:textId="77777777" w:rsidR="00AD6DA0" w:rsidRPr="00AD6DA0" w:rsidRDefault="00AD6DA0" w:rsidP="00AD6DA0">
      <w:pPr>
        <w:numPr>
          <w:ilvl w:val="0"/>
          <w:numId w:val="1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Daily Sign-off: Operations Manager and Finance Lead co-approve each day’s reconciliation by 10:00 GMT.</w:t>
      </w:r>
    </w:p>
    <w:p w14:paraId="0594A788" w14:textId="77777777" w:rsidR="00AD6DA0" w:rsidRPr="00AD6DA0" w:rsidRDefault="00AD6DA0" w:rsidP="00AD6DA0">
      <w:pPr>
        <w:numPr>
          <w:ilvl w:val="0"/>
          <w:numId w:val="16"/>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Monthly Board Review: MLRO presents a summary reconciliation report—highlighting trends, exceptions and multi-currency positions—to the Board Risk Committee.</w:t>
      </w:r>
    </w:p>
    <w:p w14:paraId="32EBCC19" w14:textId="77777777" w:rsidR="00AD6DA0" w:rsidRPr="00AD6DA0" w:rsidRDefault="00AD6DA0" w:rsidP="00AD6DA0">
      <w:pPr>
        <w:spacing w:before="100" w:beforeAutospacing="1" w:after="100" w:afterAutospacing="1" w:line="240" w:lineRule="auto"/>
        <w:jc w:val="both"/>
        <w:outlineLvl w:val="2"/>
        <w:rPr>
          <w:rFonts w:ascii="Open Sans" w:eastAsia="Times New Roman" w:hAnsi="Open Sans" w:cs="Open Sans"/>
          <w:kern w:val="0"/>
          <w:sz w:val="24"/>
          <w:szCs w:val="24"/>
          <w:lang w:eastAsia="en-GB"/>
          <w14:ligatures w14:val="none"/>
        </w:rPr>
      </w:pPr>
      <w:bookmarkStart w:id="13" w:name="_Toc205161170"/>
      <w:r w:rsidRPr="00AD6DA0">
        <w:rPr>
          <w:rFonts w:ascii="Open Sans" w:eastAsia="Times New Roman" w:hAnsi="Open Sans" w:cs="Open Sans"/>
          <w:kern w:val="0"/>
          <w:sz w:val="24"/>
          <w:szCs w:val="24"/>
          <w:lang w:eastAsia="en-GB"/>
          <w14:ligatures w14:val="none"/>
        </w:rPr>
        <w:lastRenderedPageBreak/>
        <w:t>5.2 Independent Assurance</w:t>
      </w:r>
      <w:bookmarkEnd w:id="13"/>
    </w:p>
    <w:p w14:paraId="1B019DB2" w14:textId="77777777" w:rsidR="00AD6DA0" w:rsidRPr="00AD6DA0" w:rsidRDefault="00AD6DA0" w:rsidP="00AD6DA0">
      <w:pPr>
        <w:numPr>
          <w:ilvl w:val="0"/>
          <w:numId w:val="1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Quarterly Internal Audit: Review a sample of daily reconciliations and test segregation/investment processes.</w:t>
      </w:r>
    </w:p>
    <w:p w14:paraId="280B7B80" w14:textId="77777777" w:rsidR="00AD6DA0" w:rsidRPr="00AD6DA0" w:rsidRDefault="00AD6DA0" w:rsidP="00AD6DA0">
      <w:pPr>
        <w:numPr>
          <w:ilvl w:val="0"/>
          <w:numId w:val="17"/>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Annual External Audit: Third-party audit of safeguarding compliance, with findings reported to the FCA as required.</w:t>
      </w:r>
    </w:p>
    <w:p w14:paraId="5B8D9C10" w14:textId="5AC8378B" w:rsidR="00AD6DA0" w:rsidRPr="00AD6DA0"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62A9055A" w14:textId="77777777" w:rsidR="00AD6DA0" w:rsidRPr="00AD6DA0" w:rsidRDefault="00AD6DA0" w:rsidP="00AD6DA0">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4" w:name="_Toc205161171"/>
      <w:r w:rsidRPr="00AD6DA0">
        <w:rPr>
          <w:rFonts w:ascii="Open Sans" w:eastAsia="Times New Roman" w:hAnsi="Open Sans" w:cs="Open Sans"/>
          <w:b/>
          <w:bCs/>
          <w:kern w:val="0"/>
          <w:sz w:val="24"/>
          <w:szCs w:val="24"/>
          <w:lang w:eastAsia="en-GB"/>
          <w14:ligatures w14:val="none"/>
        </w:rPr>
        <w:t>6. Agent &amp; Distributor Oversight</w:t>
      </w:r>
      <w:bookmarkEnd w:id="14"/>
    </w:p>
    <w:p w14:paraId="093F2AFC"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Where third-party agents collect customer cash:</w:t>
      </w:r>
    </w:p>
    <w:p w14:paraId="5760BE7E" w14:textId="77777777" w:rsidR="00AD6DA0" w:rsidRPr="00AD6DA0" w:rsidRDefault="00AD6DA0" w:rsidP="00AD6DA0">
      <w:pPr>
        <w:numPr>
          <w:ilvl w:val="0"/>
          <w:numId w:val="1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Agent Master Agreement: Mandates identical segregation, sweep and reconciliation procedures.</w:t>
      </w:r>
    </w:p>
    <w:p w14:paraId="3578C369" w14:textId="77777777" w:rsidR="00AD6DA0" w:rsidRPr="00AD6DA0" w:rsidRDefault="00AD6DA0" w:rsidP="00AD6DA0">
      <w:pPr>
        <w:numPr>
          <w:ilvl w:val="0"/>
          <w:numId w:val="18"/>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Daily Agent Reconciliation: Agents provide collection reports; FYM validates these against agent-account balances and performs intraday sweeps of any variances.</w:t>
      </w:r>
    </w:p>
    <w:p w14:paraId="74ED729A" w14:textId="4E07B732" w:rsidR="00AD6DA0" w:rsidRPr="00AD6DA0" w:rsidRDefault="00AD6DA0" w:rsidP="00AD6DA0">
      <w:pPr>
        <w:spacing w:after="0" w:line="240" w:lineRule="auto"/>
        <w:jc w:val="both"/>
        <w:rPr>
          <w:rFonts w:ascii="Open Sans" w:eastAsia="Times New Roman" w:hAnsi="Open Sans" w:cs="Open Sans"/>
          <w:kern w:val="0"/>
          <w:sz w:val="24"/>
          <w:szCs w:val="24"/>
          <w:lang w:eastAsia="en-GB"/>
          <w14:ligatures w14:val="none"/>
        </w:rPr>
      </w:pPr>
    </w:p>
    <w:p w14:paraId="54526785" w14:textId="77777777" w:rsidR="00AD6DA0" w:rsidRPr="00AD6DA0" w:rsidRDefault="00AD6DA0" w:rsidP="00AD6DA0">
      <w:pPr>
        <w:spacing w:before="100" w:beforeAutospacing="1" w:after="100" w:afterAutospacing="1" w:line="240" w:lineRule="auto"/>
        <w:jc w:val="both"/>
        <w:outlineLvl w:val="1"/>
        <w:rPr>
          <w:rFonts w:ascii="Open Sans" w:eastAsia="Times New Roman" w:hAnsi="Open Sans" w:cs="Open Sans"/>
          <w:b/>
          <w:bCs/>
          <w:kern w:val="0"/>
          <w:sz w:val="24"/>
          <w:szCs w:val="24"/>
          <w:lang w:eastAsia="en-GB"/>
          <w14:ligatures w14:val="none"/>
        </w:rPr>
      </w:pPr>
      <w:bookmarkStart w:id="15" w:name="_Toc205161172"/>
      <w:r w:rsidRPr="00AD6DA0">
        <w:rPr>
          <w:rFonts w:ascii="Open Sans" w:eastAsia="Times New Roman" w:hAnsi="Open Sans" w:cs="Open Sans"/>
          <w:b/>
          <w:bCs/>
          <w:kern w:val="0"/>
          <w:sz w:val="24"/>
          <w:szCs w:val="24"/>
          <w:lang w:eastAsia="en-GB"/>
          <w14:ligatures w14:val="none"/>
        </w:rPr>
        <w:t>7. Insolvency Safeguards</w:t>
      </w:r>
      <w:bookmarkEnd w:id="15"/>
    </w:p>
    <w:p w14:paraId="785A309B" w14:textId="77777777" w:rsidR="00AD6DA0" w:rsidRPr="00AD6DA0" w:rsidRDefault="00AD6DA0" w:rsidP="00AD6DA0">
      <w:p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In the event of FYM’s insolvency:</w:t>
      </w:r>
    </w:p>
    <w:p w14:paraId="37079B9A" w14:textId="77777777" w:rsidR="00AD6DA0" w:rsidRPr="00AD6DA0" w:rsidRDefault="00AD6DA0" w:rsidP="00AD6DA0">
      <w:pPr>
        <w:numPr>
          <w:ilvl w:val="0"/>
          <w:numId w:val="1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All safeguarded funds (cash and invested assets) form a protected asset pool.</w:t>
      </w:r>
    </w:p>
    <w:p w14:paraId="39E92F00" w14:textId="77777777" w:rsidR="00AD6DA0" w:rsidRPr="00AD6DA0" w:rsidRDefault="00AD6DA0" w:rsidP="00AD6DA0">
      <w:pPr>
        <w:numPr>
          <w:ilvl w:val="0"/>
          <w:numId w:val="1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E-money holders’ claims rank ahead of other unsecured creditors (per EMR 21(1)(d) and PSR 23(3)).</w:t>
      </w:r>
    </w:p>
    <w:p w14:paraId="04308FD0" w14:textId="1303B2BB" w:rsidR="00AD6DA0" w:rsidRPr="00AD6DA0" w:rsidRDefault="00AD6DA0" w:rsidP="00151E4C">
      <w:pPr>
        <w:numPr>
          <w:ilvl w:val="0"/>
          <w:numId w:val="19"/>
        </w:numPr>
        <w:spacing w:before="100" w:beforeAutospacing="1" w:after="100" w:afterAutospacing="1" w:line="240" w:lineRule="auto"/>
        <w:jc w:val="both"/>
        <w:rPr>
          <w:rFonts w:ascii="Open Sans" w:eastAsia="Times New Roman" w:hAnsi="Open Sans" w:cs="Open Sans"/>
          <w:kern w:val="0"/>
          <w:sz w:val="24"/>
          <w:szCs w:val="24"/>
          <w:lang w:eastAsia="en-GB"/>
          <w14:ligatures w14:val="none"/>
        </w:rPr>
      </w:pPr>
      <w:r w:rsidRPr="00AD6DA0">
        <w:rPr>
          <w:rFonts w:ascii="Open Sans" w:eastAsia="Times New Roman" w:hAnsi="Open Sans" w:cs="Open Sans"/>
          <w:kern w:val="0"/>
          <w:sz w:val="24"/>
          <w:szCs w:val="24"/>
          <w:lang w:eastAsia="en-GB"/>
          <w14:ligatures w14:val="none"/>
        </w:rPr>
        <w:t>No right of set-off exists against customer balances.</w:t>
      </w:r>
    </w:p>
    <w:p w14:paraId="4FE7F485" w14:textId="77777777" w:rsidR="00572695" w:rsidRPr="00875069" w:rsidRDefault="00572695" w:rsidP="00AD6DA0">
      <w:pPr>
        <w:jc w:val="both"/>
        <w:rPr>
          <w:rFonts w:ascii="Open Sans" w:hAnsi="Open Sans" w:cs="Open Sans"/>
          <w:sz w:val="24"/>
          <w:szCs w:val="24"/>
        </w:rPr>
      </w:pPr>
    </w:p>
    <w:sectPr w:rsidR="00572695" w:rsidRPr="008750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060"/>
    <w:multiLevelType w:val="multilevel"/>
    <w:tmpl w:val="22683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17F9D"/>
    <w:multiLevelType w:val="multilevel"/>
    <w:tmpl w:val="D830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2FC4"/>
    <w:multiLevelType w:val="multilevel"/>
    <w:tmpl w:val="4F62D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6063B9"/>
    <w:multiLevelType w:val="multilevel"/>
    <w:tmpl w:val="0D74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81C18"/>
    <w:multiLevelType w:val="multilevel"/>
    <w:tmpl w:val="E13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13594"/>
    <w:multiLevelType w:val="multilevel"/>
    <w:tmpl w:val="78805F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F6739B"/>
    <w:multiLevelType w:val="multilevel"/>
    <w:tmpl w:val="AAA85D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E9412A"/>
    <w:multiLevelType w:val="multilevel"/>
    <w:tmpl w:val="3794B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B61D86"/>
    <w:multiLevelType w:val="multilevel"/>
    <w:tmpl w:val="BE28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568F6"/>
    <w:multiLevelType w:val="multilevel"/>
    <w:tmpl w:val="DEC6E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415F7"/>
    <w:multiLevelType w:val="multilevel"/>
    <w:tmpl w:val="D8D8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03298"/>
    <w:multiLevelType w:val="multilevel"/>
    <w:tmpl w:val="42562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F1694"/>
    <w:multiLevelType w:val="multilevel"/>
    <w:tmpl w:val="A002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26089"/>
    <w:multiLevelType w:val="multilevel"/>
    <w:tmpl w:val="59D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03A55"/>
    <w:multiLevelType w:val="multilevel"/>
    <w:tmpl w:val="FD94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02019"/>
    <w:multiLevelType w:val="multilevel"/>
    <w:tmpl w:val="379E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242B90"/>
    <w:multiLevelType w:val="multilevel"/>
    <w:tmpl w:val="C1CC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1B559E"/>
    <w:multiLevelType w:val="multilevel"/>
    <w:tmpl w:val="AE0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76012">
    <w:abstractNumId w:val="5"/>
  </w:num>
  <w:num w:numId="2" w16cid:durableId="1462572751">
    <w:abstractNumId w:val="13"/>
  </w:num>
  <w:num w:numId="3" w16cid:durableId="1697462911">
    <w:abstractNumId w:val="6"/>
  </w:num>
  <w:num w:numId="4" w16cid:durableId="795372412">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488864812">
    <w:abstractNumId w:val="10"/>
  </w:num>
  <w:num w:numId="6" w16cid:durableId="1420105747">
    <w:abstractNumId w:val="14"/>
  </w:num>
  <w:num w:numId="7" w16cid:durableId="1637641800">
    <w:abstractNumId w:val="4"/>
  </w:num>
  <w:num w:numId="8" w16cid:durableId="840699501">
    <w:abstractNumId w:val="0"/>
  </w:num>
  <w:num w:numId="9" w16cid:durableId="1248348888">
    <w:abstractNumId w:val="3"/>
  </w:num>
  <w:num w:numId="10" w16cid:durableId="1459227888">
    <w:abstractNumId w:val="2"/>
  </w:num>
  <w:num w:numId="11" w16cid:durableId="206919029">
    <w:abstractNumId w:val="1"/>
  </w:num>
  <w:num w:numId="12" w16cid:durableId="392041784">
    <w:abstractNumId w:val="7"/>
  </w:num>
  <w:num w:numId="13" w16cid:durableId="347296131">
    <w:abstractNumId w:val="9"/>
  </w:num>
  <w:num w:numId="14" w16cid:durableId="489567244">
    <w:abstractNumId w:val="9"/>
    <w:lvlOverride w:ilvl="1">
      <w:lvl w:ilvl="1">
        <w:numFmt w:val="decimal"/>
        <w:lvlText w:val="%2."/>
        <w:lvlJc w:val="left"/>
      </w:lvl>
    </w:lvlOverride>
  </w:num>
  <w:num w:numId="15" w16cid:durableId="232009546">
    <w:abstractNumId w:val="11"/>
  </w:num>
  <w:num w:numId="16" w16cid:durableId="721440420">
    <w:abstractNumId w:val="15"/>
  </w:num>
  <w:num w:numId="17" w16cid:durableId="23335509">
    <w:abstractNumId w:val="8"/>
  </w:num>
  <w:num w:numId="18" w16cid:durableId="1763525912">
    <w:abstractNumId w:val="17"/>
  </w:num>
  <w:num w:numId="19" w16cid:durableId="1935430391">
    <w:abstractNumId w:val="16"/>
  </w:num>
  <w:num w:numId="20" w16cid:durableId="69435544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E62"/>
    <w:rsid w:val="00151E4C"/>
    <w:rsid w:val="001E6F60"/>
    <w:rsid w:val="00372454"/>
    <w:rsid w:val="00572695"/>
    <w:rsid w:val="00687C39"/>
    <w:rsid w:val="00875069"/>
    <w:rsid w:val="009300EE"/>
    <w:rsid w:val="009F4A8E"/>
    <w:rsid w:val="00AD6DA0"/>
    <w:rsid w:val="00B67E62"/>
    <w:rsid w:val="00BE58F7"/>
    <w:rsid w:val="00CE2C65"/>
    <w:rsid w:val="00D904A2"/>
    <w:rsid w:val="00FC07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1B8C0"/>
  <w15:chartTrackingRefBased/>
  <w15:docId w15:val="{2F3ED2AD-B3C8-4A67-AE47-54E97AA93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E62"/>
  </w:style>
  <w:style w:type="paragraph" w:styleId="Heading1">
    <w:name w:val="heading 1"/>
    <w:basedOn w:val="Normal"/>
    <w:next w:val="Normal"/>
    <w:link w:val="Heading1Char"/>
    <w:uiPriority w:val="9"/>
    <w:qFormat/>
    <w:rsid w:val="00B67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E62"/>
    <w:rPr>
      <w:rFonts w:eastAsiaTheme="majorEastAsia" w:cstheme="majorBidi"/>
      <w:color w:val="272727" w:themeColor="text1" w:themeTint="D8"/>
    </w:rPr>
  </w:style>
  <w:style w:type="paragraph" w:styleId="Title">
    <w:name w:val="Title"/>
    <w:basedOn w:val="Normal"/>
    <w:next w:val="Normal"/>
    <w:link w:val="TitleChar"/>
    <w:uiPriority w:val="10"/>
    <w:qFormat/>
    <w:rsid w:val="00B67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E62"/>
    <w:pPr>
      <w:spacing w:before="160"/>
      <w:jc w:val="center"/>
    </w:pPr>
    <w:rPr>
      <w:i/>
      <w:iCs/>
      <w:color w:val="404040" w:themeColor="text1" w:themeTint="BF"/>
    </w:rPr>
  </w:style>
  <w:style w:type="character" w:customStyle="1" w:styleId="QuoteChar">
    <w:name w:val="Quote Char"/>
    <w:basedOn w:val="DefaultParagraphFont"/>
    <w:link w:val="Quote"/>
    <w:uiPriority w:val="29"/>
    <w:rsid w:val="00B67E62"/>
    <w:rPr>
      <w:i/>
      <w:iCs/>
      <w:color w:val="404040" w:themeColor="text1" w:themeTint="BF"/>
    </w:rPr>
  </w:style>
  <w:style w:type="paragraph" w:styleId="ListParagraph">
    <w:name w:val="List Paragraph"/>
    <w:basedOn w:val="Normal"/>
    <w:uiPriority w:val="34"/>
    <w:qFormat/>
    <w:rsid w:val="00B67E62"/>
    <w:pPr>
      <w:ind w:left="720"/>
      <w:contextualSpacing/>
    </w:pPr>
  </w:style>
  <w:style w:type="character" w:styleId="IntenseEmphasis">
    <w:name w:val="Intense Emphasis"/>
    <w:basedOn w:val="DefaultParagraphFont"/>
    <w:uiPriority w:val="21"/>
    <w:qFormat/>
    <w:rsid w:val="00B67E62"/>
    <w:rPr>
      <w:i/>
      <w:iCs/>
      <w:color w:val="0F4761" w:themeColor="accent1" w:themeShade="BF"/>
    </w:rPr>
  </w:style>
  <w:style w:type="paragraph" w:styleId="IntenseQuote">
    <w:name w:val="Intense Quote"/>
    <w:basedOn w:val="Normal"/>
    <w:next w:val="Normal"/>
    <w:link w:val="IntenseQuoteChar"/>
    <w:uiPriority w:val="30"/>
    <w:qFormat/>
    <w:rsid w:val="00B67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E62"/>
    <w:rPr>
      <w:i/>
      <w:iCs/>
      <w:color w:val="0F4761" w:themeColor="accent1" w:themeShade="BF"/>
    </w:rPr>
  </w:style>
  <w:style w:type="character" w:styleId="IntenseReference">
    <w:name w:val="Intense Reference"/>
    <w:basedOn w:val="DefaultParagraphFont"/>
    <w:uiPriority w:val="32"/>
    <w:qFormat/>
    <w:rsid w:val="00B67E62"/>
    <w:rPr>
      <w:b/>
      <w:bCs/>
      <w:smallCaps/>
      <w:color w:val="0F4761" w:themeColor="accent1" w:themeShade="BF"/>
      <w:spacing w:val="5"/>
    </w:rPr>
  </w:style>
  <w:style w:type="paragraph" w:styleId="TOC1">
    <w:name w:val="toc 1"/>
    <w:basedOn w:val="Normal"/>
    <w:next w:val="Normal"/>
    <w:autoRedefine/>
    <w:uiPriority w:val="39"/>
    <w:unhideWhenUsed/>
    <w:rsid w:val="00151E4C"/>
    <w:pPr>
      <w:spacing w:before="120" w:after="120"/>
    </w:pPr>
    <w:rPr>
      <w:b/>
      <w:bCs/>
      <w:caps/>
      <w:sz w:val="20"/>
      <w:szCs w:val="20"/>
    </w:rPr>
  </w:style>
  <w:style w:type="paragraph" w:styleId="TOC2">
    <w:name w:val="toc 2"/>
    <w:basedOn w:val="Normal"/>
    <w:next w:val="Normal"/>
    <w:autoRedefine/>
    <w:uiPriority w:val="39"/>
    <w:unhideWhenUsed/>
    <w:rsid w:val="00151E4C"/>
    <w:pPr>
      <w:spacing w:after="0"/>
      <w:ind w:left="220"/>
    </w:pPr>
    <w:rPr>
      <w:smallCaps/>
      <w:sz w:val="20"/>
      <w:szCs w:val="20"/>
    </w:rPr>
  </w:style>
  <w:style w:type="paragraph" w:styleId="TOC3">
    <w:name w:val="toc 3"/>
    <w:basedOn w:val="Normal"/>
    <w:next w:val="Normal"/>
    <w:autoRedefine/>
    <w:uiPriority w:val="39"/>
    <w:unhideWhenUsed/>
    <w:rsid w:val="00151E4C"/>
    <w:pPr>
      <w:spacing w:after="0"/>
      <w:ind w:left="440"/>
    </w:pPr>
    <w:rPr>
      <w:i/>
      <w:iCs/>
      <w:sz w:val="20"/>
      <w:szCs w:val="20"/>
    </w:rPr>
  </w:style>
  <w:style w:type="paragraph" w:styleId="TOC4">
    <w:name w:val="toc 4"/>
    <w:basedOn w:val="Normal"/>
    <w:next w:val="Normal"/>
    <w:autoRedefine/>
    <w:uiPriority w:val="39"/>
    <w:unhideWhenUsed/>
    <w:rsid w:val="00151E4C"/>
    <w:pPr>
      <w:spacing w:after="0"/>
      <w:ind w:left="660"/>
    </w:pPr>
    <w:rPr>
      <w:sz w:val="18"/>
      <w:szCs w:val="18"/>
    </w:rPr>
  </w:style>
  <w:style w:type="paragraph" w:styleId="TOC5">
    <w:name w:val="toc 5"/>
    <w:basedOn w:val="Normal"/>
    <w:next w:val="Normal"/>
    <w:autoRedefine/>
    <w:uiPriority w:val="39"/>
    <w:unhideWhenUsed/>
    <w:rsid w:val="00151E4C"/>
    <w:pPr>
      <w:spacing w:after="0"/>
      <w:ind w:left="880"/>
    </w:pPr>
    <w:rPr>
      <w:sz w:val="18"/>
      <w:szCs w:val="18"/>
    </w:rPr>
  </w:style>
  <w:style w:type="paragraph" w:styleId="TOC6">
    <w:name w:val="toc 6"/>
    <w:basedOn w:val="Normal"/>
    <w:next w:val="Normal"/>
    <w:autoRedefine/>
    <w:uiPriority w:val="39"/>
    <w:unhideWhenUsed/>
    <w:rsid w:val="00151E4C"/>
    <w:pPr>
      <w:spacing w:after="0"/>
      <w:ind w:left="1100"/>
    </w:pPr>
    <w:rPr>
      <w:sz w:val="18"/>
      <w:szCs w:val="18"/>
    </w:rPr>
  </w:style>
  <w:style w:type="paragraph" w:styleId="TOC7">
    <w:name w:val="toc 7"/>
    <w:basedOn w:val="Normal"/>
    <w:next w:val="Normal"/>
    <w:autoRedefine/>
    <w:uiPriority w:val="39"/>
    <w:unhideWhenUsed/>
    <w:rsid w:val="00151E4C"/>
    <w:pPr>
      <w:spacing w:after="0"/>
      <w:ind w:left="1320"/>
    </w:pPr>
    <w:rPr>
      <w:sz w:val="18"/>
      <w:szCs w:val="18"/>
    </w:rPr>
  </w:style>
  <w:style w:type="paragraph" w:styleId="TOC8">
    <w:name w:val="toc 8"/>
    <w:basedOn w:val="Normal"/>
    <w:next w:val="Normal"/>
    <w:autoRedefine/>
    <w:uiPriority w:val="39"/>
    <w:unhideWhenUsed/>
    <w:rsid w:val="00151E4C"/>
    <w:pPr>
      <w:spacing w:after="0"/>
      <w:ind w:left="1540"/>
    </w:pPr>
    <w:rPr>
      <w:sz w:val="18"/>
      <w:szCs w:val="18"/>
    </w:rPr>
  </w:style>
  <w:style w:type="paragraph" w:styleId="TOC9">
    <w:name w:val="toc 9"/>
    <w:basedOn w:val="Normal"/>
    <w:next w:val="Normal"/>
    <w:autoRedefine/>
    <w:uiPriority w:val="39"/>
    <w:unhideWhenUsed/>
    <w:rsid w:val="00151E4C"/>
    <w:pPr>
      <w:spacing w:after="0"/>
      <w:ind w:left="1760"/>
    </w:pPr>
    <w:rPr>
      <w:sz w:val="18"/>
      <w:szCs w:val="18"/>
    </w:rPr>
  </w:style>
  <w:style w:type="character" w:styleId="Hyperlink">
    <w:name w:val="Hyperlink"/>
    <w:basedOn w:val="DefaultParagraphFont"/>
    <w:uiPriority w:val="99"/>
    <w:unhideWhenUsed/>
    <w:rsid w:val="00151E4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FManu (FYM)</dc:creator>
  <cp:keywords/>
  <dc:description/>
  <cp:lastModifiedBy>FManu (FYM)</cp:lastModifiedBy>
  <cp:revision>4</cp:revision>
  <cp:lastPrinted>2025-08-06T13:16:00Z</cp:lastPrinted>
  <dcterms:created xsi:type="dcterms:W3CDTF">2025-08-03T22:44:00Z</dcterms:created>
  <dcterms:modified xsi:type="dcterms:W3CDTF">2025-08-06T13:17:00Z</dcterms:modified>
</cp:coreProperties>
</file>