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6E57" w14:textId="77777777" w:rsidR="000B5F08" w:rsidRPr="000B5F08" w:rsidRDefault="000B5F08" w:rsidP="00E24C10">
      <w:pPr>
        <w:jc w:val="both"/>
        <w:rPr>
          <w:rFonts w:ascii="Open Sans" w:hAnsi="Open Sans" w:cs="Open Sans"/>
          <w:b/>
          <w:bCs/>
          <w:sz w:val="56"/>
          <w:szCs w:val="56"/>
        </w:rPr>
      </w:pPr>
      <w:r w:rsidRPr="000B5F08">
        <w:rPr>
          <w:rFonts w:ascii="Open Sans" w:hAnsi="Open Sans" w:cs="Open Sans"/>
          <w:b/>
          <w:bCs/>
          <w:sz w:val="56"/>
          <w:szCs w:val="56"/>
        </w:rPr>
        <w:t>SECURITY POLICY</w:t>
      </w:r>
    </w:p>
    <w:p w14:paraId="232F2827" w14:textId="77777777" w:rsidR="000B5F08" w:rsidRDefault="000B5F08" w:rsidP="00E24C10">
      <w:pPr>
        <w:jc w:val="both"/>
        <w:rPr>
          <w:rFonts w:ascii="Open Sans" w:hAnsi="Open Sans" w:cs="Open Sans"/>
          <w:b/>
          <w:bCs/>
          <w:sz w:val="24"/>
          <w:szCs w:val="24"/>
        </w:rPr>
      </w:pPr>
    </w:p>
    <w:p w14:paraId="7D3A2E45" w14:textId="04771BCF" w:rsidR="000B5F08" w:rsidRDefault="000B5F08" w:rsidP="00E24C10">
      <w:pPr>
        <w:jc w:val="both"/>
        <w:rPr>
          <w:rFonts w:ascii="Open Sans" w:hAnsi="Open Sans" w:cs="Open Sans"/>
          <w:b/>
          <w:bCs/>
          <w:sz w:val="24"/>
          <w:szCs w:val="24"/>
        </w:rPr>
      </w:pPr>
      <w:r w:rsidRPr="00176409">
        <w:rPr>
          <w:rFonts w:ascii="Open Sans" w:hAnsi="Open Sans" w:cs="Open Sans"/>
          <w:noProof/>
          <w:sz w:val="24"/>
          <w:szCs w:val="24"/>
        </w:rPr>
        <w:drawing>
          <wp:inline distT="0" distB="0" distL="0" distR="0" wp14:anchorId="687296A9" wp14:editId="77B81B23">
            <wp:extent cx="5486400" cy="5486400"/>
            <wp:effectExtent l="0" t="0" r="0" b="0"/>
            <wp:docPr id="1712314106"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4106" name="Picture 2" descr="A logo for a company&#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00FD8EF4" w14:textId="77777777" w:rsidR="000B5F08" w:rsidRDefault="000B5F08" w:rsidP="00E24C10">
      <w:pPr>
        <w:jc w:val="both"/>
        <w:rPr>
          <w:rFonts w:ascii="Open Sans" w:hAnsi="Open Sans" w:cs="Open Sans"/>
          <w:b/>
          <w:bCs/>
          <w:sz w:val="24"/>
          <w:szCs w:val="24"/>
        </w:rPr>
      </w:pPr>
    </w:p>
    <w:p w14:paraId="3427A4E4" w14:textId="77777777" w:rsidR="000B5F08" w:rsidRDefault="000B5F08" w:rsidP="00E24C10">
      <w:pPr>
        <w:jc w:val="both"/>
        <w:rPr>
          <w:rFonts w:ascii="Open Sans" w:hAnsi="Open Sans" w:cs="Open Sans"/>
          <w:b/>
          <w:bCs/>
          <w:sz w:val="24"/>
          <w:szCs w:val="24"/>
        </w:rPr>
      </w:pPr>
    </w:p>
    <w:p w14:paraId="0654C8D6" w14:textId="77777777" w:rsidR="000B5F08" w:rsidRDefault="000B5F08" w:rsidP="00E24C10">
      <w:pPr>
        <w:jc w:val="both"/>
        <w:rPr>
          <w:rFonts w:ascii="Open Sans" w:hAnsi="Open Sans" w:cs="Open Sans"/>
          <w:b/>
          <w:bCs/>
          <w:sz w:val="24"/>
          <w:szCs w:val="24"/>
        </w:rPr>
      </w:pPr>
    </w:p>
    <w:p w14:paraId="66825E04" w14:textId="77777777" w:rsidR="000B5F08" w:rsidRDefault="000B5F08" w:rsidP="00E24C10">
      <w:pPr>
        <w:jc w:val="both"/>
        <w:rPr>
          <w:rFonts w:ascii="Open Sans" w:hAnsi="Open Sans" w:cs="Open Sans"/>
          <w:b/>
          <w:bCs/>
          <w:sz w:val="24"/>
          <w:szCs w:val="24"/>
        </w:rPr>
      </w:pPr>
    </w:p>
    <w:p w14:paraId="4E6985EA" w14:textId="77777777" w:rsidR="000B5F08" w:rsidRDefault="000B5F08" w:rsidP="00E24C10">
      <w:pPr>
        <w:jc w:val="both"/>
        <w:rPr>
          <w:rFonts w:ascii="Open Sans" w:hAnsi="Open Sans" w:cs="Open Sans"/>
          <w:b/>
          <w:bCs/>
          <w:sz w:val="24"/>
          <w:szCs w:val="24"/>
        </w:rPr>
      </w:pPr>
    </w:p>
    <w:p w14:paraId="49F00587" w14:textId="77777777" w:rsidR="00953E97" w:rsidRDefault="00953E97" w:rsidP="00E24C10">
      <w:pPr>
        <w:jc w:val="both"/>
        <w:rPr>
          <w:rFonts w:ascii="Open Sans" w:hAnsi="Open Sans" w:cs="Open Sans"/>
          <w:b/>
          <w:bCs/>
          <w:sz w:val="24"/>
          <w:szCs w:val="24"/>
        </w:rPr>
      </w:pPr>
    </w:p>
    <w:p w14:paraId="5DF36261" w14:textId="77777777" w:rsidR="00953E97" w:rsidRDefault="00953E97" w:rsidP="00E24C10">
      <w:pPr>
        <w:jc w:val="both"/>
        <w:rPr>
          <w:rFonts w:ascii="Open Sans" w:hAnsi="Open Sans" w:cs="Open Sans"/>
          <w:b/>
          <w:bCs/>
          <w:sz w:val="24"/>
          <w:szCs w:val="24"/>
        </w:rPr>
      </w:pPr>
    </w:p>
    <w:p w14:paraId="20355181" w14:textId="703B8399" w:rsidR="000B5F08" w:rsidRPr="00953E97" w:rsidRDefault="00DB0AF2" w:rsidP="00953E97">
      <w:pPr>
        <w:spacing w:line="480" w:lineRule="auto"/>
        <w:jc w:val="both"/>
        <w:rPr>
          <w:rFonts w:ascii="Open Sans" w:hAnsi="Open Sans" w:cs="Open Sans"/>
          <w:b/>
          <w:bCs/>
          <w:sz w:val="24"/>
          <w:szCs w:val="24"/>
        </w:rPr>
      </w:pPr>
      <w:r>
        <w:rPr>
          <w:rFonts w:ascii="Open Sans" w:hAnsi="Open Sans" w:cs="Open Sans"/>
          <w:b/>
          <w:bCs/>
          <w:sz w:val="24"/>
          <w:szCs w:val="24"/>
        </w:rPr>
        <w:lastRenderedPageBreak/>
        <w:t>TABLE OF CONTENTS</w:t>
      </w:r>
    </w:p>
    <w:p w14:paraId="5FF246DA" w14:textId="4EF9E81F" w:rsidR="00953E97" w:rsidRPr="00953E97" w:rsidRDefault="00953E97" w:rsidP="00953E97">
      <w:pPr>
        <w:pStyle w:val="TOC2"/>
        <w:tabs>
          <w:tab w:val="right" w:leader="dot" w:pos="9016"/>
        </w:tabs>
        <w:spacing w:line="480" w:lineRule="auto"/>
        <w:rPr>
          <w:rFonts w:ascii="Open Sans" w:eastAsiaTheme="minorEastAsia" w:hAnsi="Open Sans" w:cs="Open Sans"/>
          <w:smallCaps w:val="0"/>
          <w:noProof/>
          <w:sz w:val="24"/>
          <w:szCs w:val="24"/>
          <w:lang w:eastAsia="en-GB"/>
        </w:rPr>
      </w:pPr>
      <w:r w:rsidRPr="00953E97">
        <w:rPr>
          <w:rFonts w:ascii="Open Sans" w:hAnsi="Open Sans" w:cs="Open Sans"/>
          <w:sz w:val="24"/>
          <w:szCs w:val="24"/>
        </w:rPr>
        <w:fldChar w:fldCharType="begin"/>
      </w:r>
      <w:r w:rsidRPr="00953E97">
        <w:rPr>
          <w:rFonts w:ascii="Open Sans" w:hAnsi="Open Sans" w:cs="Open Sans"/>
          <w:sz w:val="24"/>
          <w:szCs w:val="24"/>
        </w:rPr>
        <w:instrText xml:space="preserve"> TOC \o "1-3" \h \z \u </w:instrText>
      </w:r>
      <w:r w:rsidRPr="00953E97">
        <w:rPr>
          <w:rFonts w:ascii="Open Sans" w:hAnsi="Open Sans" w:cs="Open Sans"/>
          <w:sz w:val="24"/>
          <w:szCs w:val="24"/>
        </w:rPr>
        <w:fldChar w:fldCharType="separate"/>
      </w:r>
      <w:hyperlink w:anchor="_Toc205048243" w:history="1">
        <w:r w:rsidRPr="00953E97">
          <w:rPr>
            <w:rStyle w:val="Hyperlink"/>
            <w:rFonts w:ascii="Open Sans" w:hAnsi="Open Sans" w:cs="Open Sans"/>
            <w:noProof/>
            <w:sz w:val="24"/>
            <w:szCs w:val="24"/>
          </w:rPr>
          <w:t>Executive summary</w:t>
        </w:r>
        <w:r w:rsidRPr="00953E97">
          <w:rPr>
            <w:rFonts w:ascii="Open Sans" w:hAnsi="Open Sans" w:cs="Open Sans"/>
            <w:noProof/>
            <w:webHidden/>
            <w:sz w:val="24"/>
            <w:szCs w:val="24"/>
          </w:rPr>
          <w:tab/>
        </w:r>
        <w:r w:rsidRPr="00953E97">
          <w:rPr>
            <w:rFonts w:ascii="Open Sans" w:hAnsi="Open Sans" w:cs="Open Sans"/>
            <w:noProof/>
            <w:webHidden/>
            <w:sz w:val="24"/>
            <w:szCs w:val="24"/>
          </w:rPr>
          <w:fldChar w:fldCharType="begin"/>
        </w:r>
        <w:r w:rsidRPr="00953E97">
          <w:rPr>
            <w:rFonts w:ascii="Open Sans" w:hAnsi="Open Sans" w:cs="Open Sans"/>
            <w:noProof/>
            <w:webHidden/>
            <w:sz w:val="24"/>
            <w:szCs w:val="24"/>
          </w:rPr>
          <w:instrText xml:space="preserve"> PAGEREF _Toc205048243 \h </w:instrText>
        </w:r>
        <w:r w:rsidRPr="00953E97">
          <w:rPr>
            <w:rFonts w:ascii="Open Sans" w:hAnsi="Open Sans" w:cs="Open Sans"/>
            <w:noProof/>
            <w:webHidden/>
            <w:sz w:val="24"/>
            <w:szCs w:val="24"/>
          </w:rPr>
        </w:r>
        <w:r w:rsidRPr="00953E97">
          <w:rPr>
            <w:rFonts w:ascii="Open Sans" w:hAnsi="Open Sans" w:cs="Open Sans"/>
            <w:noProof/>
            <w:webHidden/>
            <w:sz w:val="24"/>
            <w:szCs w:val="24"/>
          </w:rPr>
          <w:fldChar w:fldCharType="separate"/>
        </w:r>
        <w:r w:rsidR="005D026B">
          <w:rPr>
            <w:rFonts w:ascii="Open Sans" w:hAnsi="Open Sans" w:cs="Open Sans"/>
            <w:noProof/>
            <w:webHidden/>
            <w:sz w:val="24"/>
            <w:szCs w:val="24"/>
          </w:rPr>
          <w:t>3</w:t>
        </w:r>
        <w:r w:rsidRPr="00953E97">
          <w:rPr>
            <w:rFonts w:ascii="Open Sans" w:hAnsi="Open Sans" w:cs="Open Sans"/>
            <w:noProof/>
            <w:webHidden/>
            <w:sz w:val="24"/>
            <w:szCs w:val="24"/>
          </w:rPr>
          <w:fldChar w:fldCharType="end"/>
        </w:r>
      </w:hyperlink>
    </w:p>
    <w:p w14:paraId="6C94F009" w14:textId="4D11770E" w:rsidR="00953E97" w:rsidRPr="00953E97" w:rsidRDefault="00953E97" w:rsidP="00953E97">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48244" w:history="1">
        <w:r w:rsidRPr="00953E97">
          <w:rPr>
            <w:rStyle w:val="Hyperlink"/>
            <w:rFonts w:ascii="Open Sans" w:eastAsia="Times New Roman" w:hAnsi="Open Sans" w:cs="Open Sans"/>
            <w:noProof/>
            <w:sz w:val="24"/>
            <w:szCs w:val="24"/>
            <w:lang w:eastAsia="en-GB"/>
          </w:rPr>
          <w:t>1. Detailed Risk Assessment and Mitigation</w:t>
        </w:r>
        <w:r w:rsidRPr="00953E97">
          <w:rPr>
            <w:rFonts w:ascii="Open Sans" w:hAnsi="Open Sans" w:cs="Open Sans"/>
            <w:noProof/>
            <w:webHidden/>
            <w:sz w:val="24"/>
            <w:szCs w:val="24"/>
          </w:rPr>
          <w:tab/>
        </w:r>
        <w:r w:rsidRPr="00953E97">
          <w:rPr>
            <w:rFonts w:ascii="Open Sans" w:hAnsi="Open Sans" w:cs="Open Sans"/>
            <w:noProof/>
            <w:webHidden/>
            <w:sz w:val="24"/>
            <w:szCs w:val="24"/>
          </w:rPr>
          <w:fldChar w:fldCharType="begin"/>
        </w:r>
        <w:r w:rsidRPr="00953E97">
          <w:rPr>
            <w:rFonts w:ascii="Open Sans" w:hAnsi="Open Sans" w:cs="Open Sans"/>
            <w:noProof/>
            <w:webHidden/>
            <w:sz w:val="24"/>
            <w:szCs w:val="24"/>
          </w:rPr>
          <w:instrText xml:space="preserve"> PAGEREF _Toc205048244 \h </w:instrText>
        </w:r>
        <w:r w:rsidRPr="00953E97">
          <w:rPr>
            <w:rFonts w:ascii="Open Sans" w:hAnsi="Open Sans" w:cs="Open Sans"/>
            <w:noProof/>
            <w:webHidden/>
            <w:sz w:val="24"/>
            <w:szCs w:val="24"/>
          </w:rPr>
        </w:r>
        <w:r w:rsidRPr="00953E97">
          <w:rPr>
            <w:rFonts w:ascii="Open Sans" w:hAnsi="Open Sans" w:cs="Open Sans"/>
            <w:noProof/>
            <w:webHidden/>
            <w:sz w:val="24"/>
            <w:szCs w:val="24"/>
          </w:rPr>
          <w:fldChar w:fldCharType="separate"/>
        </w:r>
        <w:r w:rsidR="005D026B">
          <w:rPr>
            <w:rFonts w:ascii="Open Sans" w:hAnsi="Open Sans" w:cs="Open Sans"/>
            <w:noProof/>
            <w:webHidden/>
            <w:sz w:val="24"/>
            <w:szCs w:val="24"/>
          </w:rPr>
          <w:t>4</w:t>
        </w:r>
        <w:r w:rsidRPr="00953E97">
          <w:rPr>
            <w:rFonts w:ascii="Open Sans" w:hAnsi="Open Sans" w:cs="Open Sans"/>
            <w:noProof/>
            <w:webHidden/>
            <w:sz w:val="24"/>
            <w:szCs w:val="24"/>
          </w:rPr>
          <w:fldChar w:fldCharType="end"/>
        </w:r>
      </w:hyperlink>
    </w:p>
    <w:p w14:paraId="28C9771E" w14:textId="56BCFE8C" w:rsidR="00953E97" w:rsidRPr="00953E97" w:rsidRDefault="00953E97" w:rsidP="00953E97">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48245" w:history="1">
        <w:r w:rsidRPr="00953E97">
          <w:rPr>
            <w:rStyle w:val="Hyperlink"/>
            <w:rFonts w:ascii="Open Sans" w:eastAsia="Times New Roman" w:hAnsi="Open Sans" w:cs="Open Sans"/>
            <w:noProof/>
            <w:sz w:val="24"/>
            <w:szCs w:val="24"/>
            <w:lang w:eastAsia="en-GB"/>
          </w:rPr>
          <w:t>2. IT Security Measures and Mechanisms</w:t>
        </w:r>
        <w:r w:rsidRPr="00953E97">
          <w:rPr>
            <w:rFonts w:ascii="Open Sans" w:hAnsi="Open Sans" w:cs="Open Sans"/>
            <w:noProof/>
            <w:webHidden/>
            <w:sz w:val="24"/>
            <w:szCs w:val="24"/>
          </w:rPr>
          <w:tab/>
        </w:r>
        <w:r w:rsidRPr="00953E97">
          <w:rPr>
            <w:rFonts w:ascii="Open Sans" w:hAnsi="Open Sans" w:cs="Open Sans"/>
            <w:noProof/>
            <w:webHidden/>
            <w:sz w:val="24"/>
            <w:szCs w:val="24"/>
          </w:rPr>
          <w:fldChar w:fldCharType="begin"/>
        </w:r>
        <w:r w:rsidRPr="00953E97">
          <w:rPr>
            <w:rFonts w:ascii="Open Sans" w:hAnsi="Open Sans" w:cs="Open Sans"/>
            <w:noProof/>
            <w:webHidden/>
            <w:sz w:val="24"/>
            <w:szCs w:val="24"/>
          </w:rPr>
          <w:instrText xml:space="preserve"> PAGEREF _Toc205048245 \h </w:instrText>
        </w:r>
        <w:r w:rsidRPr="00953E97">
          <w:rPr>
            <w:rFonts w:ascii="Open Sans" w:hAnsi="Open Sans" w:cs="Open Sans"/>
            <w:noProof/>
            <w:webHidden/>
            <w:sz w:val="24"/>
            <w:szCs w:val="24"/>
          </w:rPr>
        </w:r>
        <w:r w:rsidRPr="00953E97">
          <w:rPr>
            <w:rFonts w:ascii="Open Sans" w:hAnsi="Open Sans" w:cs="Open Sans"/>
            <w:noProof/>
            <w:webHidden/>
            <w:sz w:val="24"/>
            <w:szCs w:val="24"/>
          </w:rPr>
          <w:fldChar w:fldCharType="separate"/>
        </w:r>
        <w:r w:rsidR="005D026B">
          <w:rPr>
            <w:rFonts w:ascii="Open Sans" w:hAnsi="Open Sans" w:cs="Open Sans"/>
            <w:noProof/>
            <w:webHidden/>
            <w:sz w:val="24"/>
            <w:szCs w:val="24"/>
          </w:rPr>
          <w:t>8</w:t>
        </w:r>
        <w:r w:rsidRPr="00953E97">
          <w:rPr>
            <w:rFonts w:ascii="Open Sans" w:hAnsi="Open Sans" w:cs="Open Sans"/>
            <w:noProof/>
            <w:webHidden/>
            <w:sz w:val="24"/>
            <w:szCs w:val="24"/>
          </w:rPr>
          <w:fldChar w:fldCharType="end"/>
        </w:r>
      </w:hyperlink>
    </w:p>
    <w:p w14:paraId="53EB7876" w14:textId="205D107E" w:rsidR="00953E97" w:rsidRPr="00953E97" w:rsidRDefault="00953E97" w:rsidP="00953E97">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48246" w:history="1">
        <w:r w:rsidRPr="00953E97">
          <w:rPr>
            <w:rStyle w:val="Hyperlink"/>
            <w:rFonts w:ascii="Open Sans" w:eastAsia="Times New Roman" w:hAnsi="Open Sans" w:cs="Open Sans"/>
            <w:noProof/>
            <w:sz w:val="24"/>
            <w:szCs w:val="24"/>
            <w:lang w:eastAsia="en-GB"/>
          </w:rPr>
          <w:t>3. Physical Security Measures</w:t>
        </w:r>
        <w:r w:rsidRPr="00953E97">
          <w:rPr>
            <w:rFonts w:ascii="Open Sans" w:hAnsi="Open Sans" w:cs="Open Sans"/>
            <w:noProof/>
            <w:webHidden/>
            <w:sz w:val="24"/>
            <w:szCs w:val="24"/>
          </w:rPr>
          <w:tab/>
        </w:r>
        <w:r w:rsidRPr="00953E97">
          <w:rPr>
            <w:rFonts w:ascii="Open Sans" w:hAnsi="Open Sans" w:cs="Open Sans"/>
            <w:noProof/>
            <w:webHidden/>
            <w:sz w:val="24"/>
            <w:szCs w:val="24"/>
          </w:rPr>
          <w:fldChar w:fldCharType="begin"/>
        </w:r>
        <w:r w:rsidRPr="00953E97">
          <w:rPr>
            <w:rFonts w:ascii="Open Sans" w:hAnsi="Open Sans" w:cs="Open Sans"/>
            <w:noProof/>
            <w:webHidden/>
            <w:sz w:val="24"/>
            <w:szCs w:val="24"/>
          </w:rPr>
          <w:instrText xml:space="preserve"> PAGEREF _Toc205048246 \h </w:instrText>
        </w:r>
        <w:r w:rsidRPr="00953E97">
          <w:rPr>
            <w:rFonts w:ascii="Open Sans" w:hAnsi="Open Sans" w:cs="Open Sans"/>
            <w:noProof/>
            <w:webHidden/>
            <w:sz w:val="24"/>
            <w:szCs w:val="24"/>
          </w:rPr>
        </w:r>
        <w:r w:rsidRPr="00953E97">
          <w:rPr>
            <w:rFonts w:ascii="Open Sans" w:hAnsi="Open Sans" w:cs="Open Sans"/>
            <w:noProof/>
            <w:webHidden/>
            <w:sz w:val="24"/>
            <w:szCs w:val="24"/>
          </w:rPr>
          <w:fldChar w:fldCharType="separate"/>
        </w:r>
        <w:r w:rsidR="005D026B">
          <w:rPr>
            <w:rFonts w:ascii="Open Sans" w:hAnsi="Open Sans" w:cs="Open Sans"/>
            <w:noProof/>
            <w:webHidden/>
            <w:sz w:val="24"/>
            <w:szCs w:val="24"/>
          </w:rPr>
          <w:t>9</w:t>
        </w:r>
        <w:r w:rsidRPr="00953E97">
          <w:rPr>
            <w:rFonts w:ascii="Open Sans" w:hAnsi="Open Sans" w:cs="Open Sans"/>
            <w:noProof/>
            <w:webHidden/>
            <w:sz w:val="24"/>
            <w:szCs w:val="24"/>
          </w:rPr>
          <w:fldChar w:fldCharType="end"/>
        </w:r>
      </w:hyperlink>
    </w:p>
    <w:p w14:paraId="0B793A69" w14:textId="3857A2D4" w:rsidR="00953E97" w:rsidRPr="00953E97" w:rsidRDefault="00953E97" w:rsidP="00953E97">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48247" w:history="1">
        <w:r w:rsidRPr="00953E97">
          <w:rPr>
            <w:rStyle w:val="Hyperlink"/>
            <w:rFonts w:ascii="Open Sans" w:eastAsia="Times New Roman" w:hAnsi="Open Sans" w:cs="Open Sans"/>
            <w:noProof/>
            <w:sz w:val="24"/>
            <w:szCs w:val="24"/>
            <w:lang w:eastAsia="en-GB"/>
          </w:rPr>
          <w:t>4. Security of Payment Processes and Authentication</w:t>
        </w:r>
        <w:r w:rsidRPr="00953E97">
          <w:rPr>
            <w:rFonts w:ascii="Open Sans" w:hAnsi="Open Sans" w:cs="Open Sans"/>
            <w:noProof/>
            <w:webHidden/>
            <w:sz w:val="24"/>
            <w:szCs w:val="24"/>
          </w:rPr>
          <w:tab/>
        </w:r>
        <w:r w:rsidRPr="00953E97">
          <w:rPr>
            <w:rFonts w:ascii="Open Sans" w:hAnsi="Open Sans" w:cs="Open Sans"/>
            <w:noProof/>
            <w:webHidden/>
            <w:sz w:val="24"/>
            <w:szCs w:val="24"/>
          </w:rPr>
          <w:fldChar w:fldCharType="begin"/>
        </w:r>
        <w:r w:rsidRPr="00953E97">
          <w:rPr>
            <w:rFonts w:ascii="Open Sans" w:hAnsi="Open Sans" w:cs="Open Sans"/>
            <w:noProof/>
            <w:webHidden/>
            <w:sz w:val="24"/>
            <w:szCs w:val="24"/>
          </w:rPr>
          <w:instrText xml:space="preserve"> PAGEREF _Toc205048247 \h </w:instrText>
        </w:r>
        <w:r w:rsidRPr="00953E97">
          <w:rPr>
            <w:rFonts w:ascii="Open Sans" w:hAnsi="Open Sans" w:cs="Open Sans"/>
            <w:noProof/>
            <w:webHidden/>
            <w:sz w:val="24"/>
            <w:szCs w:val="24"/>
          </w:rPr>
        </w:r>
        <w:r w:rsidRPr="00953E97">
          <w:rPr>
            <w:rFonts w:ascii="Open Sans" w:hAnsi="Open Sans" w:cs="Open Sans"/>
            <w:noProof/>
            <w:webHidden/>
            <w:sz w:val="24"/>
            <w:szCs w:val="24"/>
          </w:rPr>
          <w:fldChar w:fldCharType="separate"/>
        </w:r>
        <w:r w:rsidR="005D026B">
          <w:rPr>
            <w:rFonts w:ascii="Open Sans" w:hAnsi="Open Sans" w:cs="Open Sans"/>
            <w:noProof/>
            <w:webHidden/>
            <w:sz w:val="24"/>
            <w:szCs w:val="24"/>
          </w:rPr>
          <w:t>10</w:t>
        </w:r>
        <w:r w:rsidRPr="00953E97">
          <w:rPr>
            <w:rFonts w:ascii="Open Sans" w:hAnsi="Open Sans" w:cs="Open Sans"/>
            <w:noProof/>
            <w:webHidden/>
            <w:sz w:val="24"/>
            <w:szCs w:val="24"/>
          </w:rPr>
          <w:fldChar w:fldCharType="end"/>
        </w:r>
      </w:hyperlink>
    </w:p>
    <w:p w14:paraId="44C28511" w14:textId="688CAC3A" w:rsidR="00953E97" w:rsidRPr="00953E97" w:rsidRDefault="00953E97" w:rsidP="00953E97">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48248" w:history="1">
        <w:r w:rsidRPr="00953E97">
          <w:rPr>
            <w:rStyle w:val="Hyperlink"/>
            <w:rFonts w:ascii="Open Sans" w:eastAsia="Times New Roman" w:hAnsi="Open Sans" w:cs="Open Sans"/>
            <w:noProof/>
            <w:sz w:val="24"/>
            <w:szCs w:val="24"/>
            <w:lang w:eastAsia="en-GB"/>
          </w:rPr>
          <w:t>5. Transaction Analysis and Suspicious Activity Detection</w:t>
        </w:r>
        <w:r w:rsidRPr="00953E97">
          <w:rPr>
            <w:rFonts w:ascii="Open Sans" w:hAnsi="Open Sans" w:cs="Open Sans"/>
            <w:noProof/>
            <w:webHidden/>
            <w:sz w:val="24"/>
            <w:szCs w:val="24"/>
          </w:rPr>
          <w:tab/>
        </w:r>
        <w:r w:rsidRPr="00953E97">
          <w:rPr>
            <w:rFonts w:ascii="Open Sans" w:hAnsi="Open Sans" w:cs="Open Sans"/>
            <w:noProof/>
            <w:webHidden/>
            <w:sz w:val="24"/>
            <w:szCs w:val="24"/>
          </w:rPr>
          <w:fldChar w:fldCharType="begin"/>
        </w:r>
        <w:r w:rsidRPr="00953E97">
          <w:rPr>
            <w:rFonts w:ascii="Open Sans" w:hAnsi="Open Sans" w:cs="Open Sans"/>
            <w:noProof/>
            <w:webHidden/>
            <w:sz w:val="24"/>
            <w:szCs w:val="24"/>
          </w:rPr>
          <w:instrText xml:space="preserve"> PAGEREF _Toc205048248 \h </w:instrText>
        </w:r>
        <w:r w:rsidRPr="00953E97">
          <w:rPr>
            <w:rFonts w:ascii="Open Sans" w:hAnsi="Open Sans" w:cs="Open Sans"/>
            <w:noProof/>
            <w:webHidden/>
            <w:sz w:val="24"/>
            <w:szCs w:val="24"/>
          </w:rPr>
        </w:r>
        <w:r w:rsidRPr="00953E97">
          <w:rPr>
            <w:rFonts w:ascii="Open Sans" w:hAnsi="Open Sans" w:cs="Open Sans"/>
            <w:noProof/>
            <w:webHidden/>
            <w:sz w:val="24"/>
            <w:szCs w:val="24"/>
          </w:rPr>
          <w:fldChar w:fldCharType="separate"/>
        </w:r>
        <w:r w:rsidR="005D026B">
          <w:rPr>
            <w:rFonts w:ascii="Open Sans" w:hAnsi="Open Sans" w:cs="Open Sans"/>
            <w:noProof/>
            <w:webHidden/>
            <w:sz w:val="24"/>
            <w:szCs w:val="24"/>
          </w:rPr>
          <w:t>11</w:t>
        </w:r>
        <w:r w:rsidRPr="00953E97">
          <w:rPr>
            <w:rFonts w:ascii="Open Sans" w:hAnsi="Open Sans" w:cs="Open Sans"/>
            <w:noProof/>
            <w:webHidden/>
            <w:sz w:val="24"/>
            <w:szCs w:val="24"/>
          </w:rPr>
          <w:fldChar w:fldCharType="end"/>
        </w:r>
      </w:hyperlink>
    </w:p>
    <w:p w14:paraId="38219540" w14:textId="7577BC7B" w:rsidR="000B5F08" w:rsidRDefault="00953E97" w:rsidP="00953E97">
      <w:pPr>
        <w:pStyle w:val="Heading2"/>
        <w:spacing w:line="480" w:lineRule="auto"/>
        <w:rPr>
          <w:rFonts w:ascii="Open Sans" w:hAnsi="Open Sans" w:cs="Open Sans"/>
          <w:sz w:val="24"/>
          <w:szCs w:val="24"/>
        </w:rPr>
      </w:pPr>
      <w:r w:rsidRPr="00953E97">
        <w:rPr>
          <w:rFonts w:ascii="Open Sans" w:hAnsi="Open Sans" w:cs="Open Sans"/>
          <w:sz w:val="24"/>
          <w:szCs w:val="24"/>
        </w:rPr>
        <w:fldChar w:fldCharType="end"/>
      </w:r>
    </w:p>
    <w:p w14:paraId="06FD1AB9" w14:textId="77777777" w:rsidR="00953E97" w:rsidRDefault="00953E97" w:rsidP="00953E97"/>
    <w:p w14:paraId="3A089762" w14:textId="77777777" w:rsidR="00953E97" w:rsidRDefault="00953E97" w:rsidP="00953E97"/>
    <w:p w14:paraId="18D3F593" w14:textId="77777777" w:rsidR="00953E97" w:rsidRDefault="00953E97" w:rsidP="00953E97"/>
    <w:p w14:paraId="6546E64D" w14:textId="77777777" w:rsidR="00953E97" w:rsidRDefault="00953E97" w:rsidP="00953E97"/>
    <w:p w14:paraId="0DA78B63" w14:textId="77777777" w:rsidR="00953E97" w:rsidRDefault="00953E97" w:rsidP="00953E97"/>
    <w:p w14:paraId="285DB735" w14:textId="77777777" w:rsidR="00953E97" w:rsidRDefault="00953E97" w:rsidP="00953E97"/>
    <w:p w14:paraId="729256D6" w14:textId="77777777" w:rsidR="00953E97" w:rsidRDefault="00953E97" w:rsidP="00953E97"/>
    <w:p w14:paraId="51BF1C94" w14:textId="77777777" w:rsidR="00953E97" w:rsidRDefault="00953E97" w:rsidP="00953E97"/>
    <w:p w14:paraId="52FCE5DC" w14:textId="77777777" w:rsidR="00953E97" w:rsidRDefault="00953E97" w:rsidP="00953E97"/>
    <w:p w14:paraId="04529807" w14:textId="77777777" w:rsidR="00953E97" w:rsidRDefault="00953E97" w:rsidP="00953E97"/>
    <w:p w14:paraId="40D16729" w14:textId="77777777" w:rsidR="00953E97" w:rsidRDefault="00953E97" w:rsidP="00953E97"/>
    <w:p w14:paraId="19889F5A" w14:textId="77777777" w:rsidR="00953E97" w:rsidRDefault="00953E97" w:rsidP="00953E97"/>
    <w:p w14:paraId="0E234EF8" w14:textId="77777777" w:rsidR="005D026B" w:rsidRPr="00953E97" w:rsidRDefault="005D026B" w:rsidP="00953E97"/>
    <w:p w14:paraId="209EEF59" w14:textId="77777777" w:rsidR="00953E97" w:rsidRDefault="00953E97" w:rsidP="00953E97"/>
    <w:p w14:paraId="1813A1C4" w14:textId="77777777" w:rsidR="00953E97" w:rsidRDefault="00953E97" w:rsidP="00953E97"/>
    <w:p w14:paraId="3F30778D" w14:textId="77777777" w:rsidR="00953E97" w:rsidRDefault="00953E97" w:rsidP="00953E97"/>
    <w:p w14:paraId="30554CB1" w14:textId="77777777" w:rsidR="00953E97" w:rsidRPr="00953E97" w:rsidRDefault="00953E97" w:rsidP="00953E97"/>
    <w:p w14:paraId="17EA7A64" w14:textId="1A61E1D6" w:rsidR="00572695" w:rsidRPr="00DB0AF2" w:rsidRDefault="00E24C10" w:rsidP="000B5F08">
      <w:pPr>
        <w:pStyle w:val="Heading2"/>
        <w:rPr>
          <w:rFonts w:ascii="Open Sans" w:hAnsi="Open Sans" w:cs="Open Sans"/>
          <w:b/>
          <w:bCs/>
          <w:sz w:val="24"/>
          <w:szCs w:val="24"/>
        </w:rPr>
      </w:pPr>
      <w:bookmarkStart w:id="0" w:name="_Toc205048243"/>
      <w:r w:rsidRPr="00DB0AF2">
        <w:rPr>
          <w:rFonts w:ascii="Open Sans" w:hAnsi="Open Sans" w:cs="Open Sans"/>
          <w:b/>
          <w:bCs/>
          <w:sz w:val="24"/>
          <w:szCs w:val="24"/>
        </w:rPr>
        <w:lastRenderedPageBreak/>
        <w:t>Executive summary</w:t>
      </w:r>
      <w:bookmarkEnd w:id="0"/>
    </w:p>
    <w:p w14:paraId="6A976B54" w14:textId="6110BA8C"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By mapping each identified risk to specific controls in a risk-control matrix, and by implementing layered technical, procedural and physical safeguards in line with the FCA’s Approach Document, EBA Guidelines, PCI DSS and NCSC principles, FYM Compliance Limited proposed Security Policy ensures a rigorous security posture across all e-money and payment services. We believe our Policy will provide continuous monitoring, testing and governance guarantee that our framework remains effective and responsive to evolving threats. We have demonstrated in-depth understanding of the FCA’s and EBA’s requirements (Approach Document Chapter 18, EBA Guidelines EBA-GL-2017-17) and specifies how we identify and mitigate security risks across our e-money issuance, cash top-up/withdrawal, remittance, FX and card-based services.</w:t>
      </w:r>
    </w:p>
    <w:p w14:paraId="0FA56500" w14:textId="682F677F" w:rsidR="00E24C10" w:rsidRPr="00E24C10" w:rsidRDefault="000B5F08" w:rsidP="00E24C10">
      <w:pPr>
        <w:jc w:val="both"/>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In constructing our Security Policy, we have taken time to c</w:t>
      </w:r>
      <w:r w:rsidR="00E24C10" w:rsidRPr="00E24C10">
        <w:rPr>
          <w:rFonts w:ascii="Open Sans" w:eastAsia="Times New Roman" w:hAnsi="Open Sans" w:cs="Open Sans"/>
          <w:kern w:val="0"/>
          <w:sz w:val="24"/>
          <w:szCs w:val="24"/>
          <w:lang w:eastAsia="en-GB"/>
          <w14:ligatures w14:val="none"/>
        </w:rPr>
        <w:t>onduct a detailed risk assessment of each service line, identifying fraud, cyber-attack, third-party, and operational threats, and mapped them in a risk-control matrix.</w:t>
      </w:r>
    </w:p>
    <w:p w14:paraId="572079E7" w14:textId="206C46F0" w:rsidR="00E24C10" w:rsidRPr="00E24C10" w:rsidRDefault="000B5F08" w:rsidP="00E24C10">
      <w:pPr>
        <w:jc w:val="both"/>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Thus, we aim to i</w:t>
      </w:r>
      <w:r w:rsidR="00E24C10" w:rsidRPr="00E24C10">
        <w:rPr>
          <w:rFonts w:ascii="Open Sans" w:eastAsia="Times New Roman" w:hAnsi="Open Sans" w:cs="Open Sans"/>
          <w:kern w:val="0"/>
          <w:sz w:val="24"/>
          <w:szCs w:val="24"/>
          <w:lang w:eastAsia="en-GB"/>
          <w14:ligatures w14:val="none"/>
        </w:rPr>
        <w:t>mplemen</w:t>
      </w:r>
      <w:r>
        <w:rPr>
          <w:rFonts w:ascii="Open Sans" w:eastAsia="Times New Roman" w:hAnsi="Open Sans" w:cs="Open Sans"/>
          <w:kern w:val="0"/>
          <w:sz w:val="24"/>
          <w:szCs w:val="24"/>
          <w:lang w:eastAsia="en-GB"/>
          <w14:ligatures w14:val="none"/>
        </w:rPr>
        <w:t>t</w:t>
      </w:r>
      <w:r w:rsidR="00E24C10" w:rsidRPr="00E24C10">
        <w:rPr>
          <w:rFonts w:ascii="Open Sans" w:eastAsia="Times New Roman" w:hAnsi="Open Sans" w:cs="Open Sans"/>
          <w:kern w:val="0"/>
          <w:sz w:val="24"/>
          <w:szCs w:val="24"/>
          <w:lang w:eastAsia="en-GB"/>
          <w14:ligatures w14:val="none"/>
        </w:rPr>
        <w:t xml:space="preserve"> a layered IT security framework—firewalls, secure configurations, encryption, IDS/IPS, antivirus and vulnerability-management processes—to protect data and systems.</w:t>
      </w:r>
    </w:p>
    <w:p w14:paraId="13F18902" w14:textId="5D6E7A05" w:rsidR="00E24C10" w:rsidRPr="00E24C10" w:rsidRDefault="000B5F08" w:rsidP="00E24C10">
      <w:pPr>
        <w:jc w:val="both"/>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We have also demonstrated the d</w:t>
      </w:r>
      <w:r w:rsidR="00E24C10" w:rsidRPr="00E24C10">
        <w:rPr>
          <w:rFonts w:ascii="Open Sans" w:eastAsia="Times New Roman" w:hAnsi="Open Sans" w:cs="Open Sans"/>
          <w:kern w:val="0"/>
          <w:sz w:val="24"/>
          <w:szCs w:val="24"/>
          <w:lang w:eastAsia="en-GB"/>
          <w14:ligatures w14:val="none"/>
        </w:rPr>
        <w:t>eploy</w:t>
      </w:r>
      <w:r>
        <w:rPr>
          <w:rFonts w:ascii="Open Sans" w:eastAsia="Times New Roman" w:hAnsi="Open Sans" w:cs="Open Sans"/>
          <w:kern w:val="0"/>
          <w:sz w:val="24"/>
          <w:szCs w:val="24"/>
          <w:lang w:eastAsia="en-GB"/>
          <w14:ligatures w14:val="none"/>
        </w:rPr>
        <w:t xml:space="preserve">ment of </w:t>
      </w:r>
      <w:r w:rsidR="00E24C10" w:rsidRPr="00E24C10">
        <w:rPr>
          <w:rFonts w:ascii="Open Sans" w:eastAsia="Times New Roman" w:hAnsi="Open Sans" w:cs="Open Sans"/>
          <w:kern w:val="0"/>
          <w:sz w:val="24"/>
          <w:szCs w:val="24"/>
          <w:lang w:eastAsia="en-GB"/>
          <w14:ligatures w14:val="none"/>
        </w:rPr>
        <w:t>robust physical security at our head office and ISO 27001/PCI DSS Level 1 cloud data centres, including access controls, CCTV, environmental safeguards and business-continuity measures.</w:t>
      </w:r>
    </w:p>
    <w:p w14:paraId="3421CF65" w14:textId="3CE8F7C4" w:rsidR="00E24C10" w:rsidRPr="00E24C10" w:rsidRDefault="000B5F08" w:rsidP="00E24C10">
      <w:pPr>
        <w:jc w:val="both"/>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In our proposed policy, we aim to e</w:t>
      </w:r>
      <w:r w:rsidR="00E24C10" w:rsidRPr="00E24C10">
        <w:rPr>
          <w:rFonts w:ascii="Open Sans" w:eastAsia="Times New Roman" w:hAnsi="Open Sans" w:cs="Open Sans"/>
          <w:kern w:val="0"/>
          <w:sz w:val="24"/>
          <w:szCs w:val="24"/>
          <w:lang w:eastAsia="en-GB"/>
          <w14:ligatures w14:val="none"/>
        </w:rPr>
        <w:t>nforc</w:t>
      </w:r>
      <w:r>
        <w:rPr>
          <w:rFonts w:ascii="Open Sans" w:eastAsia="Times New Roman" w:hAnsi="Open Sans" w:cs="Open Sans"/>
          <w:kern w:val="0"/>
          <w:sz w:val="24"/>
          <w:szCs w:val="24"/>
          <w:lang w:eastAsia="en-GB"/>
          <w14:ligatures w14:val="none"/>
        </w:rPr>
        <w:t>e</w:t>
      </w:r>
      <w:r w:rsidR="00E24C10" w:rsidRPr="00E24C10">
        <w:rPr>
          <w:rFonts w:ascii="Open Sans" w:eastAsia="Times New Roman" w:hAnsi="Open Sans" w:cs="Open Sans"/>
          <w:kern w:val="0"/>
          <w:sz w:val="24"/>
          <w:szCs w:val="24"/>
          <w:lang w:eastAsia="en-GB"/>
          <w14:ligatures w14:val="none"/>
        </w:rPr>
        <w:t xml:space="preserve"> strong customer authentication (SCA-RTS) and multi-factor authentication for all payment processes, with tokenisation for underlying instruments.</w:t>
      </w:r>
    </w:p>
    <w:p w14:paraId="101E1BFA" w14:textId="4A9D80B8" w:rsidR="00E24C10" w:rsidRPr="00E24C10" w:rsidRDefault="000B5F08" w:rsidP="00E24C10">
      <w:pPr>
        <w:jc w:val="both"/>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 xml:space="preserve">Finally, we have also demonstrated our preparedness to implement </w:t>
      </w:r>
      <w:r w:rsidR="00E24C10" w:rsidRPr="00E24C10">
        <w:rPr>
          <w:rFonts w:ascii="Open Sans" w:eastAsia="Times New Roman" w:hAnsi="Open Sans" w:cs="Open Sans"/>
          <w:kern w:val="0"/>
          <w:sz w:val="24"/>
          <w:szCs w:val="24"/>
          <w:lang w:eastAsia="en-GB"/>
          <w14:ligatures w14:val="none"/>
        </w:rPr>
        <w:t>an advanced transaction-monitoring regime, using rule-based engines and user-behaviour analytics to detect and escalate suspicious activity.</w:t>
      </w:r>
    </w:p>
    <w:p w14:paraId="6E2407D4" w14:textId="3BDD49FE" w:rsidR="00E24C10" w:rsidRDefault="00E24C10" w:rsidP="00E24C10">
      <w:pPr>
        <w:jc w:val="both"/>
        <w:rPr>
          <w:rFonts w:ascii="Open Sans" w:eastAsia="Times New Roman" w:hAnsi="Open Sans" w:cs="Open Sans"/>
          <w:kern w:val="0"/>
          <w:sz w:val="24"/>
          <w:szCs w:val="24"/>
          <w:lang w:eastAsia="en-GB"/>
          <w14:ligatures w14:val="none"/>
        </w:rPr>
      </w:pPr>
    </w:p>
    <w:p w14:paraId="5804905B" w14:textId="77777777" w:rsidR="000B5F08" w:rsidRDefault="000B5F08" w:rsidP="00E24C10">
      <w:pPr>
        <w:jc w:val="both"/>
        <w:rPr>
          <w:rFonts w:ascii="Open Sans" w:eastAsia="Times New Roman" w:hAnsi="Open Sans" w:cs="Open Sans"/>
          <w:kern w:val="0"/>
          <w:sz w:val="24"/>
          <w:szCs w:val="24"/>
          <w:lang w:eastAsia="en-GB"/>
          <w14:ligatures w14:val="none"/>
        </w:rPr>
      </w:pPr>
    </w:p>
    <w:p w14:paraId="4BF606E8" w14:textId="77777777" w:rsidR="000B5F08" w:rsidRDefault="000B5F08" w:rsidP="00E24C10">
      <w:pPr>
        <w:jc w:val="both"/>
        <w:rPr>
          <w:rFonts w:ascii="Open Sans" w:eastAsia="Times New Roman" w:hAnsi="Open Sans" w:cs="Open Sans"/>
          <w:kern w:val="0"/>
          <w:sz w:val="24"/>
          <w:szCs w:val="24"/>
          <w:lang w:eastAsia="en-GB"/>
          <w14:ligatures w14:val="none"/>
        </w:rPr>
      </w:pPr>
    </w:p>
    <w:p w14:paraId="1F326836" w14:textId="77777777" w:rsidR="00953E97" w:rsidRDefault="00953E97" w:rsidP="00E24C10">
      <w:pPr>
        <w:jc w:val="both"/>
        <w:rPr>
          <w:rFonts w:ascii="Open Sans" w:eastAsia="Times New Roman" w:hAnsi="Open Sans" w:cs="Open Sans"/>
          <w:kern w:val="0"/>
          <w:sz w:val="24"/>
          <w:szCs w:val="24"/>
          <w:lang w:eastAsia="en-GB"/>
          <w14:ligatures w14:val="none"/>
        </w:rPr>
      </w:pPr>
    </w:p>
    <w:p w14:paraId="4FA0D975" w14:textId="77777777" w:rsidR="000B5F08" w:rsidRPr="00E24C10" w:rsidRDefault="000B5F08" w:rsidP="00E24C10">
      <w:pPr>
        <w:jc w:val="both"/>
        <w:rPr>
          <w:rFonts w:ascii="Open Sans" w:eastAsia="Times New Roman" w:hAnsi="Open Sans" w:cs="Open Sans"/>
          <w:kern w:val="0"/>
          <w:sz w:val="24"/>
          <w:szCs w:val="24"/>
          <w:lang w:eastAsia="en-GB"/>
          <w14:ligatures w14:val="none"/>
        </w:rPr>
      </w:pPr>
    </w:p>
    <w:p w14:paraId="774D5130" w14:textId="77777777" w:rsidR="00E24C10" w:rsidRPr="00DB0AF2" w:rsidRDefault="00E24C10" w:rsidP="000B5F08">
      <w:pPr>
        <w:pStyle w:val="Heading2"/>
        <w:rPr>
          <w:rFonts w:ascii="Open Sans" w:eastAsia="Times New Roman" w:hAnsi="Open Sans" w:cs="Open Sans"/>
          <w:b/>
          <w:bCs/>
          <w:sz w:val="24"/>
          <w:szCs w:val="24"/>
          <w:lang w:eastAsia="en-GB"/>
        </w:rPr>
      </w:pPr>
      <w:bookmarkStart w:id="1" w:name="_Toc205048244"/>
      <w:r w:rsidRPr="00DB0AF2">
        <w:rPr>
          <w:rFonts w:ascii="Open Sans" w:eastAsia="Times New Roman" w:hAnsi="Open Sans" w:cs="Open Sans"/>
          <w:b/>
          <w:bCs/>
          <w:sz w:val="24"/>
          <w:szCs w:val="24"/>
          <w:lang w:eastAsia="en-GB"/>
        </w:rPr>
        <w:lastRenderedPageBreak/>
        <w:t>1. Detailed Risk Assessment and Mitigation</w:t>
      </w:r>
      <w:bookmarkEnd w:id="1"/>
    </w:p>
    <w:p w14:paraId="6C30A455"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FYM’s annual operational and security risk assessment follows PSRs 2017 Reg 98, FCA Approach Document Chapter 18 and the EBA Guidelines (EBA-GL-2017-17) for PSPs to identify, classify and mitigate risks (</w:t>
      </w:r>
      <w:hyperlink r:id="rId6" w:tooltip="[PDF] Payment Services and Electronic Money – Our Approach" w:history="1">
        <w:r w:rsidRPr="00E24C10">
          <w:rPr>
            <w:rFonts w:ascii="Open Sans" w:eastAsia="Times New Roman" w:hAnsi="Open Sans" w:cs="Open Sans"/>
            <w:color w:val="0000FF"/>
            <w:kern w:val="0"/>
            <w:sz w:val="24"/>
            <w:szCs w:val="24"/>
            <w:u w:val="single"/>
            <w:lang w:eastAsia="en-GB"/>
            <w14:ligatures w14:val="none"/>
          </w:rPr>
          <w:t>service.betterregulation.com</w:t>
        </w:r>
      </w:hyperlink>
      <w:r w:rsidRPr="00E24C10">
        <w:rPr>
          <w:rFonts w:ascii="Open Sans" w:eastAsia="Times New Roman" w:hAnsi="Open Sans" w:cs="Open Sans"/>
          <w:kern w:val="0"/>
          <w:sz w:val="24"/>
          <w:szCs w:val="24"/>
          <w:lang w:eastAsia="en-GB"/>
          <w14:ligatures w14:val="none"/>
        </w:rPr>
        <w:t xml:space="preserve">, </w:t>
      </w:r>
      <w:hyperlink r:id="rId7" w:tooltip="Guidelines on security measures for operational and security risks ..." w:history="1">
        <w:r w:rsidRPr="00E24C10">
          <w:rPr>
            <w:rFonts w:ascii="Open Sans" w:eastAsia="Times New Roman" w:hAnsi="Open Sans" w:cs="Open Sans"/>
            <w:color w:val="0000FF"/>
            <w:kern w:val="0"/>
            <w:sz w:val="24"/>
            <w:szCs w:val="24"/>
            <w:u w:val="single"/>
            <w:lang w:eastAsia="en-GB"/>
            <w14:ligatures w14:val="none"/>
          </w:rPr>
          <w:t>eba.europa.eu</w:t>
        </w:r>
      </w:hyperlink>
      <w:r w:rsidRPr="00E24C10">
        <w:rPr>
          <w:rFonts w:ascii="Open Sans" w:eastAsia="Times New Roman" w:hAnsi="Open Sans" w:cs="Open Sans"/>
          <w:kern w:val="0"/>
          <w:sz w:val="24"/>
          <w:szCs w:val="24"/>
          <w:lang w:eastAsia="en-GB"/>
          <w14:ligatures w14:val="none"/>
        </w:rPr>
        <w:t>). We evaluate threats across our core products—e-money wallets, cash top-up/withdrawal, remittance, FX, card transactions—and ensure controls are proportionate to their criticality and complexity (</w:t>
      </w:r>
      <w:hyperlink r:id="rId8" w:tooltip="New FCA proposals on operational and security risk management ..." w:history="1">
        <w:r w:rsidRPr="00E24C10">
          <w:rPr>
            <w:rFonts w:ascii="Open Sans" w:eastAsia="Times New Roman" w:hAnsi="Open Sans" w:cs="Open Sans"/>
            <w:color w:val="0000FF"/>
            <w:kern w:val="0"/>
            <w:sz w:val="24"/>
            <w:szCs w:val="24"/>
            <w:u w:val="single"/>
            <w:lang w:eastAsia="en-GB"/>
            <w14:ligatures w14:val="none"/>
          </w:rPr>
          <w:t>osborneclarke.com</w:t>
        </w:r>
      </w:hyperlink>
      <w:r w:rsidRPr="00E24C10">
        <w:rPr>
          <w:rFonts w:ascii="Open Sans" w:eastAsia="Times New Roman" w:hAnsi="Open Sans" w:cs="Open Sans"/>
          <w:kern w:val="0"/>
          <w:sz w:val="24"/>
          <w:szCs w:val="24"/>
          <w:lang w:eastAsia="en-GB"/>
          <w14:ligatures w14:val="none"/>
        </w:rPr>
        <w:t>).</w:t>
      </w:r>
    </w:p>
    <w:tbl>
      <w:tblPr>
        <w:tblStyle w:val="GridTable5Dark-Accent1"/>
        <w:tblW w:w="5588" w:type="pct"/>
        <w:tblInd w:w="-14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548"/>
        <w:gridCol w:w="2170"/>
        <w:gridCol w:w="1622"/>
        <w:gridCol w:w="3573"/>
        <w:gridCol w:w="1163"/>
      </w:tblGrid>
      <w:tr w:rsidR="00953E97" w:rsidRPr="00E24C10" w14:paraId="0E68C036" w14:textId="77777777" w:rsidTr="00953E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tcBorders>
              <w:top w:val="none" w:sz="0" w:space="0" w:color="auto"/>
              <w:left w:val="none" w:sz="0" w:space="0" w:color="auto"/>
              <w:right w:val="none" w:sz="0" w:space="0" w:color="auto"/>
            </w:tcBorders>
            <w:hideMark/>
          </w:tcPr>
          <w:p w14:paraId="211D4180" w14:textId="77777777" w:rsidR="00E24C10" w:rsidRPr="00E24C10" w:rsidRDefault="00E24C10" w:rsidP="00E24C10">
            <w:pPr>
              <w:jc w:val="both"/>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Risk Category</w:t>
            </w:r>
          </w:p>
        </w:tc>
        <w:tc>
          <w:tcPr>
            <w:tcW w:w="1077" w:type="pct"/>
            <w:tcBorders>
              <w:top w:val="none" w:sz="0" w:space="0" w:color="auto"/>
              <w:left w:val="none" w:sz="0" w:space="0" w:color="auto"/>
              <w:right w:val="none" w:sz="0" w:space="0" w:color="auto"/>
            </w:tcBorders>
            <w:hideMark/>
          </w:tcPr>
          <w:p w14:paraId="7A667F46" w14:textId="77777777" w:rsidR="00E24C10" w:rsidRPr="00E24C10" w:rsidRDefault="00E24C10" w:rsidP="00E24C10">
            <w:pPr>
              <w:jc w:val="both"/>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Threats/Issues</w:t>
            </w:r>
          </w:p>
        </w:tc>
        <w:tc>
          <w:tcPr>
            <w:tcW w:w="805" w:type="pct"/>
            <w:tcBorders>
              <w:top w:val="none" w:sz="0" w:space="0" w:color="auto"/>
              <w:left w:val="none" w:sz="0" w:space="0" w:color="auto"/>
              <w:right w:val="none" w:sz="0" w:space="0" w:color="auto"/>
            </w:tcBorders>
            <w:hideMark/>
          </w:tcPr>
          <w:p w14:paraId="492D8DFA" w14:textId="77777777" w:rsidR="00E24C10" w:rsidRPr="00E24C10" w:rsidRDefault="00E24C10" w:rsidP="00E24C10">
            <w:pPr>
              <w:jc w:val="both"/>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Impact</w:t>
            </w:r>
          </w:p>
        </w:tc>
        <w:tc>
          <w:tcPr>
            <w:tcW w:w="1641" w:type="pct"/>
            <w:tcBorders>
              <w:top w:val="none" w:sz="0" w:space="0" w:color="auto"/>
              <w:left w:val="none" w:sz="0" w:space="0" w:color="auto"/>
              <w:right w:val="none" w:sz="0" w:space="0" w:color="auto"/>
            </w:tcBorders>
            <w:hideMark/>
          </w:tcPr>
          <w:p w14:paraId="73AC78DF" w14:textId="77777777" w:rsidR="00E24C10" w:rsidRPr="00E24C10" w:rsidRDefault="00E24C10" w:rsidP="00E24C10">
            <w:pPr>
              <w:jc w:val="both"/>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Controls</w:t>
            </w:r>
          </w:p>
        </w:tc>
        <w:tc>
          <w:tcPr>
            <w:tcW w:w="709" w:type="pct"/>
            <w:tcBorders>
              <w:top w:val="none" w:sz="0" w:space="0" w:color="auto"/>
              <w:left w:val="none" w:sz="0" w:space="0" w:color="auto"/>
              <w:right w:val="none" w:sz="0" w:space="0" w:color="auto"/>
            </w:tcBorders>
            <w:hideMark/>
          </w:tcPr>
          <w:p w14:paraId="3AA60709" w14:textId="77777777" w:rsidR="00E24C10" w:rsidRPr="00E24C10" w:rsidRDefault="00E24C10" w:rsidP="00E24C10">
            <w:pPr>
              <w:jc w:val="both"/>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Residual Risk</w:t>
            </w:r>
          </w:p>
        </w:tc>
      </w:tr>
      <w:tr w:rsidR="00953E97" w:rsidRPr="00E24C10" w14:paraId="39555D4E" w14:textId="77777777" w:rsidTr="00953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tcBorders>
              <w:left w:val="none" w:sz="0" w:space="0" w:color="auto"/>
            </w:tcBorders>
            <w:hideMark/>
          </w:tcPr>
          <w:p w14:paraId="63A28639" w14:textId="77777777" w:rsidR="00E24C10" w:rsidRPr="00E24C10" w:rsidRDefault="00E24C10" w:rsidP="00E24C10">
            <w:pPr>
              <w:jc w:val="both"/>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Fraud</w:t>
            </w:r>
          </w:p>
        </w:tc>
        <w:tc>
          <w:tcPr>
            <w:tcW w:w="1077" w:type="pct"/>
            <w:hideMark/>
          </w:tcPr>
          <w:p w14:paraId="6D0411CB"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High-velocity layering via cash top-up/withdrawal; CNP fraud on card payments</w:t>
            </w:r>
          </w:p>
        </w:tc>
        <w:tc>
          <w:tcPr>
            <w:tcW w:w="805" w:type="pct"/>
            <w:hideMark/>
          </w:tcPr>
          <w:p w14:paraId="502B97D3"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Financial loss; regulatory breach</w:t>
            </w:r>
          </w:p>
        </w:tc>
        <w:tc>
          <w:tcPr>
            <w:tcW w:w="1641" w:type="pct"/>
            <w:hideMark/>
          </w:tcPr>
          <w:p w14:paraId="336C55E4"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Velocity checks, 3D Secure, transaction limits, tokenisation</w:t>
            </w:r>
          </w:p>
        </w:tc>
        <w:tc>
          <w:tcPr>
            <w:tcW w:w="709" w:type="pct"/>
            <w:hideMark/>
          </w:tcPr>
          <w:p w14:paraId="5E27D64E"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Medium</w:t>
            </w:r>
          </w:p>
        </w:tc>
      </w:tr>
      <w:tr w:rsidR="00E24C10" w:rsidRPr="00E24C10" w14:paraId="00085034" w14:textId="77777777" w:rsidTr="00953E97">
        <w:tc>
          <w:tcPr>
            <w:cnfStyle w:val="001000000000" w:firstRow="0" w:lastRow="0" w:firstColumn="1" w:lastColumn="0" w:oddVBand="0" w:evenVBand="0" w:oddHBand="0" w:evenHBand="0" w:firstRowFirstColumn="0" w:firstRowLastColumn="0" w:lastRowFirstColumn="0" w:lastRowLastColumn="0"/>
            <w:tcW w:w="768" w:type="pct"/>
            <w:tcBorders>
              <w:left w:val="none" w:sz="0" w:space="0" w:color="auto"/>
            </w:tcBorders>
            <w:hideMark/>
          </w:tcPr>
          <w:p w14:paraId="1AE9538D" w14:textId="77777777" w:rsidR="00E24C10" w:rsidRPr="00E24C10" w:rsidRDefault="00E24C10" w:rsidP="00E24C10">
            <w:pPr>
              <w:jc w:val="both"/>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Cyber-Attack</w:t>
            </w:r>
          </w:p>
        </w:tc>
        <w:tc>
          <w:tcPr>
            <w:tcW w:w="1077" w:type="pct"/>
            <w:hideMark/>
          </w:tcPr>
          <w:p w14:paraId="04371660" w14:textId="77777777" w:rsidR="00E24C10" w:rsidRPr="00E24C10" w:rsidRDefault="00E24C10" w:rsidP="00E24C10">
            <w:pPr>
              <w:jc w:val="both"/>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Phishing, malware injection, DDoS</w:t>
            </w:r>
          </w:p>
        </w:tc>
        <w:tc>
          <w:tcPr>
            <w:tcW w:w="805" w:type="pct"/>
            <w:hideMark/>
          </w:tcPr>
          <w:p w14:paraId="506225A9" w14:textId="77777777" w:rsidR="00E24C10" w:rsidRPr="00E24C10" w:rsidRDefault="00E24C10" w:rsidP="00E24C10">
            <w:pPr>
              <w:jc w:val="both"/>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Service downtime; data compromise</w:t>
            </w:r>
          </w:p>
        </w:tc>
        <w:tc>
          <w:tcPr>
            <w:tcW w:w="1641" w:type="pct"/>
            <w:hideMark/>
          </w:tcPr>
          <w:p w14:paraId="604B947E" w14:textId="20391090" w:rsidR="00E24C10" w:rsidRPr="00E24C10" w:rsidRDefault="00193947" w:rsidP="00E24C10">
            <w:pPr>
              <w:jc w:val="both"/>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 xml:space="preserve">Next-Generation Firewall </w:t>
            </w:r>
            <w:r>
              <w:rPr>
                <w:rFonts w:ascii="Open Sans" w:eastAsia="Times New Roman" w:hAnsi="Open Sans" w:cs="Open Sans"/>
                <w:kern w:val="0"/>
                <w:sz w:val="24"/>
                <w:szCs w:val="24"/>
                <w:lang w:eastAsia="en-GB"/>
                <w14:ligatures w14:val="none"/>
              </w:rPr>
              <w:t>(</w:t>
            </w:r>
            <w:r w:rsidR="00E24C10" w:rsidRPr="00E24C10">
              <w:rPr>
                <w:rFonts w:ascii="Open Sans" w:eastAsia="Times New Roman" w:hAnsi="Open Sans" w:cs="Open Sans"/>
                <w:kern w:val="0"/>
                <w:sz w:val="24"/>
                <w:szCs w:val="24"/>
                <w:lang w:eastAsia="en-GB"/>
                <w14:ligatures w14:val="none"/>
              </w:rPr>
              <w:t>NGFW</w:t>
            </w:r>
            <w:r>
              <w:rPr>
                <w:rFonts w:ascii="Open Sans" w:eastAsia="Times New Roman" w:hAnsi="Open Sans" w:cs="Open Sans"/>
                <w:kern w:val="0"/>
                <w:sz w:val="24"/>
                <w:szCs w:val="24"/>
                <w:lang w:eastAsia="en-GB"/>
                <w14:ligatures w14:val="none"/>
              </w:rPr>
              <w:t>)</w:t>
            </w:r>
            <w:r w:rsidR="00E24C10" w:rsidRPr="00E24C10">
              <w:rPr>
                <w:rFonts w:ascii="Open Sans" w:eastAsia="Times New Roman" w:hAnsi="Open Sans" w:cs="Open Sans"/>
                <w:kern w:val="0"/>
                <w:sz w:val="24"/>
                <w:szCs w:val="24"/>
                <w:lang w:eastAsia="en-GB"/>
                <w14:ligatures w14:val="none"/>
              </w:rPr>
              <w:t xml:space="preserve">, </w:t>
            </w:r>
            <w:r w:rsidRPr="00193947">
              <w:rPr>
                <w:rFonts w:ascii="Open Sans" w:eastAsia="Times New Roman" w:hAnsi="Open Sans" w:cs="Open Sans"/>
                <w:kern w:val="0"/>
                <w:sz w:val="24"/>
                <w:szCs w:val="24"/>
                <w:lang w:eastAsia="en-GB"/>
                <w14:ligatures w14:val="none"/>
              </w:rPr>
              <w:t xml:space="preserve">Intrusion Detection System / Intrusion Prevention System </w:t>
            </w:r>
            <w:r>
              <w:rPr>
                <w:rFonts w:ascii="Open Sans" w:eastAsia="Times New Roman" w:hAnsi="Open Sans" w:cs="Open Sans"/>
                <w:kern w:val="0"/>
                <w:sz w:val="24"/>
                <w:szCs w:val="24"/>
                <w:lang w:eastAsia="en-GB"/>
                <w14:ligatures w14:val="none"/>
              </w:rPr>
              <w:t>(</w:t>
            </w:r>
            <w:r w:rsidR="00E24C10" w:rsidRPr="00E24C10">
              <w:rPr>
                <w:rFonts w:ascii="Open Sans" w:eastAsia="Times New Roman" w:hAnsi="Open Sans" w:cs="Open Sans"/>
                <w:kern w:val="0"/>
                <w:sz w:val="24"/>
                <w:szCs w:val="24"/>
                <w:lang w:eastAsia="en-GB"/>
                <w14:ligatures w14:val="none"/>
              </w:rPr>
              <w:t>IDS/IPS</w:t>
            </w:r>
            <w:r>
              <w:rPr>
                <w:rFonts w:ascii="Open Sans" w:eastAsia="Times New Roman" w:hAnsi="Open Sans" w:cs="Open Sans"/>
                <w:kern w:val="0"/>
                <w:sz w:val="24"/>
                <w:szCs w:val="24"/>
                <w:lang w:eastAsia="en-GB"/>
                <w14:ligatures w14:val="none"/>
              </w:rPr>
              <w:t>)</w:t>
            </w:r>
            <w:r w:rsidR="00E24C10" w:rsidRPr="00E24C10">
              <w:rPr>
                <w:rFonts w:ascii="Open Sans" w:eastAsia="Times New Roman" w:hAnsi="Open Sans" w:cs="Open Sans"/>
                <w:kern w:val="0"/>
                <w:sz w:val="24"/>
                <w:szCs w:val="24"/>
                <w:lang w:eastAsia="en-GB"/>
                <w14:ligatures w14:val="none"/>
              </w:rPr>
              <w:t xml:space="preserve">, </w:t>
            </w:r>
            <w:r w:rsidRPr="00193947">
              <w:rPr>
                <w:rFonts w:ascii="Open Sans" w:eastAsia="Times New Roman" w:hAnsi="Open Sans" w:cs="Open Sans"/>
                <w:kern w:val="0"/>
                <w:sz w:val="24"/>
                <w:szCs w:val="24"/>
                <w:lang w:eastAsia="en-GB"/>
                <w14:ligatures w14:val="none"/>
              </w:rPr>
              <w:t xml:space="preserve">Web Application Firewall </w:t>
            </w:r>
            <w:r>
              <w:rPr>
                <w:rFonts w:ascii="Open Sans" w:eastAsia="Times New Roman" w:hAnsi="Open Sans" w:cs="Open Sans"/>
                <w:kern w:val="0"/>
                <w:sz w:val="24"/>
                <w:szCs w:val="24"/>
                <w:lang w:eastAsia="en-GB"/>
                <w14:ligatures w14:val="none"/>
              </w:rPr>
              <w:t>(</w:t>
            </w:r>
            <w:r w:rsidR="00E24C10" w:rsidRPr="00E24C10">
              <w:rPr>
                <w:rFonts w:ascii="Open Sans" w:eastAsia="Times New Roman" w:hAnsi="Open Sans" w:cs="Open Sans"/>
                <w:kern w:val="0"/>
                <w:sz w:val="24"/>
                <w:szCs w:val="24"/>
                <w:lang w:eastAsia="en-GB"/>
                <w14:ligatures w14:val="none"/>
              </w:rPr>
              <w:t>WAF</w:t>
            </w:r>
            <w:r>
              <w:rPr>
                <w:rFonts w:ascii="Open Sans" w:eastAsia="Times New Roman" w:hAnsi="Open Sans" w:cs="Open Sans"/>
                <w:kern w:val="0"/>
                <w:sz w:val="24"/>
                <w:szCs w:val="24"/>
                <w:lang w:eastAsia="en-GB"/>
                <w14:ligatures w14:val="none"/>
              </w:rPr>
              <w:t>)</w:t>
            </w:r>
            <w:r w:rsidR="00E24C10" w:rsidRPr="00E24C10">
              <w:rPr>
                <w:rFonts w:ascii="Open Sans" w:eastAsia="Times New Roman" w:hAnsi="Open Sans" w:cs="Open Sans"/>
                <w:kern w:val="0"/>
                <w:sz w:val="24"/>
                <w:szCs w:val="24"/>
                <w:lang w:eastAsia="en-GB"/>
                <w14:ligatures w14:val="none"/>
              </w:rPr>
              <w:t xml:space="preserve">, daily patching, annual </w:t>
            </w:r>
            <w:r w:rsidRPr="00193947">
              <w:rPr>
                <w:rFonts w:ascii="Open Sans" w:eastAsia="Times New Roman" w:hAnsi="Open Sans" w:cs="Open Sans"/>
                <w:kern w:val="0"/>
                <w:sz w:val="24"/>
                <w:szCs w:val="24"/>
                <w:lang w:eastAsia="en-GB"/>
                <w14:ligatures w14:val="none"/>
              </w:rPr>
              <w:t xml:space="preserve">Penetration Tests </w:t>
            </w:r>
            <w:r>
              <w:rPr>
                <w:rFonts w:ascii="Open Sans" w:eastAsia="Times New Roman" w:hAnsi="Open Sans" w:cs="Open Sans"/>
                <w:kern w:val="0"/>
                <w:sz w:val="24"/>
                <w:szCs w:val="24"/>
                <w:lang w:eastAsia="en-GB"/>
                <w14:ligatures w14:val="none"/>
              </w:rPr>
              <w:t>(</w:t>
            </w:r>
            <w:r w:rsidR="00E24C10" w:rsidRPr="00E24C10">
              <w:rPr>
                <w:rFonts w:ascii="Open Sans" w:eastAsia="Times New Roman" w:hAnsi="Open Sans" w:cs="Open Sans"/>
                <w:kern w:val="0"/>
                <w:sz w:val="24"/>
                <w:szCs w:val="24"/>
                <w:lang w:eastAsia="en-GB"/>
                <w14:ligatures w14:val="none"/>
              </w:rPr>
              <w:t>pentests</w:t>
            </w:r>
            <w:r>
              <w:rPr>
                <w:rFonts w:ascii="Open Sans" w:eastAsia="Times New Roman" w:hAnsi="Open Sans" w:cs="Open Sans"/>
                <w:kern w:val="0"/>
                <w:sz w:val="24"/>
                <w:szCs w:val="24"/>
                <w:lang w:eastAsia="en-GB"/>
                <w14:ligatures w14:val="none"/>
              </w:rPr>
              <w:t>)</w:t>
            </w:r>
          </w:p>
        </w:tc>
        <w:tc>
          <w:tcPr>
            <w:tcW w:w="709" w:type="pct"/>
            <w:hideMark/>
          </w:tcPr>
          <w:p w14:paraId="4E8C8648" w14:textId="77777777" w:rsidR="00E24C10" w:rsidRPr="00E24C10" w:rsidRDefault="00E24C10" w:rsidP="00E24C10">
            <w:pPr>
              <w:jc w:val="both"/>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Low</w:t>
            </w:r>
          </w:p>
        </w:tc>
      </w:tr>
      <w:tr w:rsidR="00953E97" w:rsidRPr="00E24C10" w14:paraId="0B0C3B59" w14:textId="77777777" w:rsidTr="00953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tcBorders>
              <w:left w:val="none" w:sz="0" w:space="0" w:color="auto"/>
            </w:tcBorders>
            <w:hideMark/>
          </w:tcPr>
          <w:p w14:paraId="59F97869" w14:textId="77777777" w:rsidR="00E24C10" w:rsidRPr="00E24C10" w:rsidRDefault="00E24C10" w:rsidP="00E24C10">
            <w:pPr>
              <w:jc w:val="both"/>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Third-Party Risk</w:t>
            </w:r>
          </w:p>
        </w:tc>
        <w:tc>
          <w:tcPr>
            <w:tcW w:w="1077" w:type="pct"/>
            <w:hideMark/>
          </w:tcPr>
          <w:p w14:paraId="528D43B7"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KYC vendor or payment-rail service failure</w:t>
            </w:r>
          </w:p>
        </w:tc>
        <w:tc>
          <w:tcPr>
            <w:tcW w:w="805" w:type="pct"/>
            <w:hideMark/>
          </w:tcPr>
          <w:p w14:paraId="106B965B"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Service disruption; data leakage</w:t>
            </w:r>
          </w:p>
        </w:tc>
        <w:tc>
          <w:tcPr>
            <w:tcW w:w="1641" w:type="pct"/>
            <w:hideMark/>
          </w:tcPr>
          <w:p w14:paraId="0A73D07E"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Vendor due diligence, SLAs, contractual audit rights (</w:t>
            </w:r>
            <w:hyperlink r:id="rId9" w:tooltip="New FCA proposals on operational and security risk management ..." w:history="1">
              <w:r w:rsidRPr="00E24C10">
                <w:rPr>
                  <w:rFonts w:ascii="Open Sans" w:eastAsia="Times New Roman" w:hAnsi="Open Sans" w:cs="Open Sans"/>
                  <w:color w:val="0000FF"/>
                  <w:kern w:val="0"/>
                  <w:sz w:val="24"/>
                  <w:szCs w:val="24"/>
                  <w:u w:val="single"/>
                  <w:lang w:eastAsia="en-GB"/>
                  <w14:ligatures w14:val="none"/>
                </w:rPr>
                <w:t>osborneclarke.com</w:t>
              </w:r>
            </w:hyperlink>
            <w:r w:rsidRPr="00E24C10">
              <w:rPr>
                <w:rFonts w:ascii="Open Sans" w:eastAsia="Times New Roman" w:hAnsi="Open Sans" w:cs="Open Sans"/>
                <w:kern w:val="0"/>
                <w:sz w:val="24"/>
                <w:szCs w:val="24"/>
                <w:lang w:eastAsia="en-GB"/>
                <w14:ligatures w14:val="none"/>
              </w:rPr>
              <w:t>)</w:t>
            </w:r>
          </w:p>
        </w:tc>
        <w:tc>
          <w:tcPr>
            <w:tcW w:w="709" w:type="pct"/>
            <w:hideMark/>
          </w:tcPr>
          <w:p w14:paraId="1812246D"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Medium</w:t>
            </w:r>
          </w:p>
        </w:tc>
      </w:tr>
      <w:tr w:rsidR="00E24C10" w:rsidRPr="00E24C10" w14:paraId="168BDDC8" w14:textId="77777777" w:rsidTr="00953E97">
        <w:tc>
          <w:tcPr>
            <w:cnfStyle w:val="001000000000" w:firstRow="0" w:lastRow="0" w:firstColumn="1" w:lastColumn="0" w:oddVBand="0" w:evenVBand="0" w:oddHBand="0" w:evenHBand="0" w:firstRowFirstColumn="0" w:firstRowLastColumn="0" w:lastRowFirstColumn="0" w:lastRowLastColumn="0"/>
            <w:tcW w:w="768" w:type="pct"/>
            <w:tcBorders>
              <w:left w:val="none" w:sz="0" w:space="0" w:color="auto"/>
            </w:tcBorders>
            <w:hideMark/>
          </w:tcPr>
          <w:p w14:paraId="6F4D7F53" w14:textId="77777777" w:rsidR="00E24C10" w:rsidRPr="00E24C10" w:rsidRDefault="00E24C10" w:rsidP="00E24C10">
            <w:pPr>
              <w:jc w:val="both"/>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Operational Failure</w:t>
            </w:r>
          </w:p>
        </w:tc>
        <w:tc>
          <w:tcPr>
            <w:tcW w:w="1077" w:type="pct"/>
            <w:hideMark/>
          </w:tcPr>
          <w:p w14:paraId="0B1A83A0" w14:textId="77777777" w:rsidR="00E24C10" w:rsidRPr="00E24C10" w:rsidRDefault="00E24C10" w:rsidP="00E24C10">
            <w:pPr>
              <w:jc w:val="both"/>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System misconfiguration, human error</w:t>
            </w:r>
          </w:p>
        </w:tc>
        <w:tc>
          <w:tcPr>
            <w:tcW w:w="805" w:type="pct"/>
            <w:hideMark/>
          </w:tcPr>
          <w:p w14:paraId="133836F8" w14:textId="77777777" w:rsidR="00E24C10" w:rsidRPr="00E24C10" w:rsidRDefault="00E24C10" w:rsidP="00E24C10">
            <w:pPr>
              <w:jc w:val="both"/>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Transaction errors; customer impact</w:t>
            </w:r>
          </w:p>
        </w:tc>
        <w:tc>
          <w:tcPr>
            <w:tcW w:w="1641" w:type="pct"/>
            <w:hideMark/>
          </w:tcPr>
          <w:p w14:paraId="6EA17127" w14:textId="77777777" w:rsidR="00E24C10" w:rsidRPr="00E24C10" w:rsidRDefault="00E24C10" w:rsidP="00E24C10">
            <w:pPr>
              <w:jc w:val="both"/>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Change-control process, RCSAs, log monitoring (</w:t>
            </w:r>
            <w:hyperlink r:id="rId10" w:tooltip="[PDF] Payment Services and Electronic Money – Our Approach" w:history="1">
              <w:r w:rsidRPr="00E24C10">
                <w:rPr>
                  <w:rFonts w:ascii="Open Sans" w:eastAsia="Times New Roman" w:hAnsi="Open Sans" w:cs="Open Sans"/>
                  <w:color w:val="0000FF"/>
                  <w:kern w:val="0"/>
                  <w:sz w:val="24"/>
                  <w:szCs w:val="24"/>
                  <w:u w:val="single"/>
                  <w:lang w:eastAsia="en-GB"/>
                  <w14:ligatures w14:val="none"/>
                </w:rPr>
                <w:t>service.betterregulation.com</w:t>
              </w:r>
            </w:hyperlink>
            <w:r w:rsidRPr="00E24C10">
              <w:rPr>
                <w:rFonts w:ascii="Open Sans" w:eastAsia="Times New Roman" w:hAnsi="Open Sans" w:cs="Open Sans"/>
                <w:kern w:val="0"/>
                <w:sz w:val="24"/>
                <w:szCs w:val="24"/>
                <w:lang w:eastAsia="en-GB"/>
                <w14:ligatures w14:val="none"/>
              </w:rPr>
              <w:t>)</w:t>
            </w:r>
          </w:p>
        </w:tc>
        <w:tc>
          <w:tcPr>
            <w:tcW w:w="709" w:type="pct"/>
            <w:hideMark/>
          </w:tcPr>
          <w:p w14:paraId="427ED3B0" w14:textId="77777777" w:rsidR="00E24C10" w:rsidRPr="00E24C10" w:rsidRDefault="00E24C10" w:rsidP="00E24C10">
            <w:pPr>
              <w:jc w:val="both"/>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Low</w:t>
            </w:r>
          </w:p>
        </w:tc>
      </w:tr>
      <w:tr w:rsidR="00953E97" w:rsidRPr="00E24C10" w14:paraId="2642A5A7" w14:textId="77777777" w:rsidTr="00953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tcBorders>
              <w:left w:val="none" w:sz="0" w:space="0" w:color="auto"/>
              <w:bottom w:val="none" w:sz="0" w:space="0" w:color="auto"/>
            </w:tcBorders>
            <w:hideMark/>
          </w:tcPr>
          <w:p w14:paraId="0EC80924" w14:textId="77777777" w:rsidR="00E24C10" w:rsidRPr="00E24C10" w:rsidRDefault="00E24C10" w:rsidP="00E24C10">
            <w:pPr>
              <w:jc w:val="both"/>
              <w:rPr>
                <w:rFonts w:ascii="Open Sans" w:eastAsia="Times New Roman" w:hAnsi="Open Sans" w:cs="Open Sans"/>
                <w:b w:val="0"/>
                <w:bCs w:val="0"/>
                <w:kern w:val="0"/>
                <w:sz w:val="24"/>
                <w:szCs w:val="24"/>
                <w:lang w:eastAsia="en-GB"/>
                <w14:ligatures w14:val="none"/>
              </w:rPr>
            </w:pPr>
            <w:r w:rsidRPr="00E24C10">
              <w:rPr>
                <w:rFonts w:ascii="Open Sans" w:eastAsia="Times New Roman" w:hAnsi="Open Sans" w:cs="Open Sans"/>
                <w:b w:val="0"/>
                <w:bCs w:val="0"/>
                <w:kern w:val="0"/>
                <w:sz w:val="24"/>
                <w:szCs w:val="24"/>
                <w:lang w:eastAsia="en-GB"/>
                <w14:ligatures w14:val="none"/>
              </w:rPr>
              <w:t>Data Breach</w:t>
            </w:r>
          </w:p>
        </w:tc>
        <w:tc>
          <w:tcPr>
            <w:tcW w:w="1077" w:type="pct"/>
            <w:hideMark/>
          </w:tcPr>
          <w:p w14:paraId="2B13687F"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Unauthorized access to PANs, PII</w:t>
            </w:r>
          </w:p>
        </w:tc>
        <w:tc>
          <w:tcPr>
            <w:tcW w:w="805" w:type="pct"/>
            <w:hideMark/>
          </w:tcPr>
          <w:p w14:paraId="229C8F61"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Legal penalties; reputational damage</w:t>
            </w:r>
          </w:p>
        </w:tc>
        <w:tc>
          <w:tcPr>
            <w:tcW w:w="1641" w:type="pct"/>
            <w:hideMark/>
          </w:tcPr>
          <w:p w14:paraId="6B353B67"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Encryption (AES-256), HSM tokenisation, RBAC, MFA (</w:t>
            </w:r>
            <w:hyperlink r:id="rId11" w:tooltip="[PDF] Payment Services and Electronic Money – Our Approach | FCA" w:history="1">
              <w:r w:rsidRPr="00E24C10">
                <w:rPr>
                  <w:rFonts w:ascii="Open Sans" w:eastAsia="Times New Roman" w:hAnsi="Open Sans" w:cs="Open Sans"/>
                  <w:color w:val="0000FF"/>
                  <w:kern w:val="0"/>
                  <w:sz w:val="24"/>
                  <w:szCs w:val="24"/>
                  <w:u w:val="single"/>
                  <w:lang w:eastAsia="en-GB"/>
                  <w14:ligatures w14:val="none"/>
                </w:rPr>
                <w:t>fca.org.uk</w:t>
              </w:r>
            </w:hyperlink>
            <w:r w:rsidRPr="00E24C10">
              <w:rPr>
                <w:rFonts w:ascii="Open Sans" w:eastAsia="Times New Roman" w:hAnsi="Open Sans" w:cs="Open Sans"/>
                <w:kern w:val="0"/>
                <w:sz w:val="24"/>
                <w:szCs w:val="24"/>
                <w:lang w:eastAsia="en-GB"/>
                <w14:ligatures w14:val="none"/>
              </w:rPr>
              <w:t>)</w:t>
            </w:r>
          </w:p>
        </w:tc>
        <w:tc>
          <w:tcPr>
            <w:tcW w:w="709" w:type="pct"/>
            <w:hideMark/>
          </w:tcPr>
          <w:p w14:paraId="7434BCFA" w14:textId="77777777" w:rsidR="00E24C10" w:rsidRPr="00E24C10" w:rsidRDefault="00E24C10" w:rsidP="00E24C10">
            <w:pPr>
              <w:jc w:val="both"/>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Low</w:t>
            </w:r>
          </w:p>
        </w:tc>
      </w:tr>
    </w:tbl>
    <w:p w14:paraId="65D9C19F" w14:textId="047541E4" w:rsid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Each risk and control are owned by a specific Senior Manager and reviewed quarterly by the Compliance Committee</w:t>
      </w:r>
    </w:p>
    <w:p w14:paraId="2815F71C" w14:textId="216D84BF"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Below is a detailed explanation of each row in the Risk Control Matrix, unpacking the nature of the risk, its potential business impact, the safeguards we have implemented, and why the remaining (residual) risk is assessed as indicated</w:t>
      </w:r>
      <w:r w:rsidR="00953E97">
        <w:rPr>
          <w:rFonts w:ascii="Open Sans" w:eastAsia="Times New Roman" w:hAnsi="Open Sans" w:cs="Open Sans"/>
          <w:kern w:val="0"/>
          <w:sz w:val="24"/>
          <w:szCs w:val="24"/>
          <w:lang w:eastAsia="en-GB"/>
          <w14:ligatures w14:val="none"/>
        </w:rPr>
        <w:t>.</w:t>
      </w:r>
    </w:p>
    <w:p w14:paraId="6DB5B015" w14:textId="77777777" w:rsidR="00193947" w:rsidRPr="00193947" w:rsidRDefault="00193947" w:rsidP="00193947">
      <w:pPr>
        <w:jc w:val="both"/>
        <w:rPr>
          <w:rFonts w:ascii="Open Sans" w:eastAsia="Times New Roman" w:hAnsi="Open Sans" w:cs="Open Sans"/>
          <w:b/>
          <w:bC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lastRenderedPageBreak/>
        <w:t>Fraud</w:t>
      </w:r>
    </w:p>
    <w:p w14:paraId="6E30F755"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Electronic-money services—particularly cash top-ups at agents and card-not-present (CNP) transactions online—are prime channels for layering of illicit funds and payment fraud. High-velocity layering occurs when a bad actor makes multiple rapid top-up and withdrawal cycles to obscure the source of funds. CNP fraud exploits stolen card data to move money in and out of e-wallets.</w:t>
      </w:r>
    </w:p>
    <w:p w14:paraId="678D72AF"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Impact:</w:t>
      </w:r>
      <w:r w:rsidRPr="00193947">
        <w:rPr>
          <w:rFonts w:ascii="Open Sans" w:eastAsia="Times New Roman" w:hAnsi="Open Sans" w:cs="Open Sans"/>
          <w:kern w:val="0"/>
          <w:sz w:val="24"/>
          <w:szCs w:val="24"/>
          <w:lang w:eastAsia="en-GB"/>
          <w14:ligatures w14:val="none"/>
        </w:rPr>
        <w:br/>
        <w:t>If not detected, such schemes can lead to direct financial losses and expose FYM to regulatory penalties for AML/CTF control failures.</w:t>
      </w:r>
    </w:p>
    <w:p w14:paraId="387598B0"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Controls:</w:t>
      </w:r>
    </w:p>
    <w:p w14:paraId="126F6E1C" w14:textId="77777777" w:rsidR="00193947" w:rsidRPr="00193947" w:rsidRDefault="00193947" w:rsidP="00193947">
      <w:pPr>
        <w:numPr>
          <w:ilvl w:val="0"/>
          <w:numId w:val="6"/>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Velocity checks automatically flag sequences of rapid transactions above configured thresholds.</w:t>
      </w:r>
    </w:p>
    <w:p w14:paraId="57DFD74D" w14:textId="77777777" w:rsidR="00193947" w:rsidRPr="00193947" w:rsidRDefault="00193947" w:rsidP="00193947">
      <w:pPr>
        <w:numPr>
          <w:ilvl w:val="0"/>
          <w:numId w:val="6"/>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3-D Secure adds a cryptographic CNP authentication step to block unauthorised card usage.</w:t>
      </w:r>
    </w:p>
    <w:p w14:paraId="4153887A" w14:textId="77777777" w:rsidR="00193947" w:rsidRPr="00193947" w:rsidRDefault="00193947" w:rsidP="00193947">
      <w:pPr>
        <w:numPr>
          <w:ilvl w:val="0"/>
          <w:numId w:val="6"/>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 xml:space="preserve">Transaction limits (per-day and per-transaction caps) bound how much value can flow </w:t>
      </w:r>
      <w:proofErr w:type="gramStart"/>
      <w:r w:rsidRPr="00193947">
        <w:rPr>
          <w:rFonts w:ascii="Open Sans" w:eastAsia="Times New Roman" w:hAnsi="Open Sans" w:cs="Open Sans"/>
          <w:kern w:val="0"/>
          <w:sz w:val="24"/>
          <w:szCs w:val="24"/>
          <w:lang w:eastAsia="en-GB"/>
          <w14:ligatures w14:val="none"/>
        </w:rPr>
        <w:t>in a given</w:t>
      </w:r>
      <w:proofErr w:type="gramEnd"/>
      <w:r w:rsidRPr="00193947">
        <w:rPr>
          <w:rFonts w:ascii="Open Sans" w:eastAsia="Times New Roman" w:hAnsi="Open Sans" w:cs="Open Sans"/>
          <w:kern w:val="0"/>
          <w:sz w:val="24"/>
          <w:szCs w:val="24"/>
          <w:lang w:eastAsia="en-GB"/>
          <w14:ligatures w14:val="none"/>
        </w:rPr>
        <w:t xml:space="preserve"> period.</w:t>
      </w:r>
    </w:p>
    <w:p w14:paraId="3CA7928D" w14:textId="77777777" w:rsidR="00193947" w:rsidRPr="00193947" w:rsidRDefault="00193947" w:rsidP="00193947">
      <w:pPr>
        <w:numPr>
          <w:ilvl w:val="0"/>
          <w:numId w:val="6"/>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Tokenisation replaces sensitive card data (PAN, CVV) with one-time tokens, preventing replay attacks or data-theft exploits.</w:t>
      </w:r>
    </w:p>
    <w:p w14:paraId="03AE0A16" w14:textId="77777777" w:rsidR="00193947" w:rsidRPr="00193947" w:rsidRDefault="00193947" w:rsidP="00193947">
      <w:pPr>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Residual Risk (Medium):</w:t>
      </w:r>
      <w:r w:rsidRPr="00193947">
        <w:rPr>
          <w:rFonts w:ascii="Open Sans" w:eastAsia="Times New Roman" w:hAnsi="Open Sans" w:cs="Open Sans"/>
          <w:kern w:val="0"/>
          <w:sz w:val="24"/>
          <w:szCs w:val="24"/>
          <w:lang w:eastAsia="en-GB"/>
          <w14:ligatures w14:val="none"/>
        </w:rPr>
        <w:br/>
        <w:t xml:space="preserve">Despite robust controls, determined fraudsters may probe threshold boundaries or exploit emerging CNP attack vectors. Our “Medium” rating reflects remaining exposure until broader industry fraud typologies </w:t>
      </w:r>
      <w:proofErr w:type="gramStart"/>
      <w:r w:rsidRPr="00193947">
        <w:rPr>
          <w:rFonts w:ascii="Open Sans" w:eastAsia="Times New Roman" w:hAnsi="Open Sans" w:cs="Open Sans"/>
          <w:kern w:val="0"/>
          <w:sz w:val="24"/>
          <w:szCs w:val="24"/>
          <w:lang w:eastAsia="en-GB"/>
          <w14:ligatures w14:val="none"/>
        </w:rPr>
        <w:t>evolve</w:t>
      </w:r>
      <w:proofErr w:type="gramEnd"/>
      <w:r w:rsidRPr="00193947">
        <w:rPr>
          <w:rFonts w:ascii="Open Sans" w:eastAsia="Times New Roman" w:hAnsi="Open Sans" w:cs="Open Sans"/>
          <w:kern w:val="0"/>
          <w:sz w:val="24"/>
          <w:szCs w:val="24"/>
          <w:lang w:eastAsia="en-GB"/>
          <w14:ligatures w14:val="none"/>
        </w:rPr>
        <w:t xml:space="preserve"> and controls are further hardened.</w:t>
      </w:r>
    </w:p>
    <w:p w14:paraId="46C59FD2" w14:textId="5FB6F8CD" w:rsidR="00193947" w:rsidRPr="00193947" w:rsidRDefault="00193947" w:rsidP="00193947">
      <w:pPr>
        <w:jc w:val="both"/>
        <w:rPr>
          <w:rFonts w:ascii="Open Sans" w:eastAsia="Times New Roman" w:hAnsi="Open Sans" w:cs="Open Sans"/>
          <w:kern w:val="0"/>
          <w:sz w:val="24"/>
          <w:szCs w:val="24"/>
          <w:lang w:eastAsia="en-GB"/>
          <w14:ligatures w14:val="none"/>
        </w:rPr>
      </w:pPr>
    </w:p>
    <w:p w14:paraId="26910D1D" w14:textId="77777777" w:rsidR="00193947" w:rsidRPr="00193947" w:rsidRDefault="00193947" w:rsidP="00193947">
      <w:pPr>
        <w:jc w:val="both"/>
        <w:rPr>
          <w:rFonts w:ascii="Open Sans" w:eastAsia="Times New Roman" w:hAnsi="Open Sans" w:cs="Open Sans"/>
          <w:b/>
          <w:bC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Cyber-Attack</w:t>
      </w:r>
    </w:p>
    <w:p w14:paraId="25B0D280"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Digital platforms face a spectrum of threats—from phishing emails that harvest credentials, to malware that exfiltrates data, to distributed-denial-of-service (DDoS) campaigns aimed at knocking systems offline.</w:t>
      </w:r>
    </w:p>
    <w:p w14:paraId="0B883E7D"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Impact:</w:t>
      </w:r>
      <w:r w:rsidRPr="00193947">
        <w:rPr>
          <w:rFonts w:ascii="Open Sans" w:eastAsia="Times New Roman" w:hAnsi="Open Sans" w:cs="Open Sans"/>
          <w:kern w:val="0"/>
          <w:sz w:val="24"/>
          <w:szCs w:val="24"/>
          <w:lang w:eastAsia="en-GB"/>
          <w14:ligatures w14:val="none"/>
        </w:rPr>
        <w:br/>
        <w:t>A successful cyber-attack can halt customer services (loss of availability), corrupt or steal sensitive data (confidentiality breach), and undermine the integrity of our financial records.</w:t>
      </w:r>
    </w:p>
    <w:p w14:paraId="4111260E" w14:textId="77777777" w:rsidR="005D026B" w:rsidRDefault="005D026B" w:rsidP="00193947">
      <w:pPr>
        <w:jc w:val="both"/>
        <w:rPr>
          <w:rFonts w:ascii="Open Sans" w:eastAsia="Times New Roman" w:hAnsi="Open Sans" w:cs="Open Sans"/>
          <w:b/>
          <w:bCs/>
          <w:kern w:val="0"/>
          <w:sz w:val="24"/>
          <w:szCs w:val="24"/>
          <w:lang w:eastAsia="en-GB"/>
          <w14:ligatures w14:val="none"/>
        </w:rPr>
      </w:pPr>
    </w:p>
    <w:p w14:paraId="04D1E78D" w14:textId="7B993EF5"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lastRenderedPageBreak/>
        <w:t>Controls:</w:t>
      </w:r>
    </w:p>
    <w:p w14:paraId="03ACD129" w14:textId="77777777" w:rsidR="00193947" w:rsidRPr="00193947" w:rsidRDefault="00193947" w:rsidP="00193947">
      <w:pPr>
        <w:numPr>
          <w:ilvl w:val="0"/>
          <w:numId w:val="7"/>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Next-Generation Firewall (NGFW) enforces application-level filtering and blocks known malicious traffic.</w:t>
      </w:r>
    </w:p>
    <w:p w14:paraId="17E0C992" w14:textId="77777777" w:rsidR="00193947" w:rsidRPr="00193947" w:rsidRDefault="00193947" w:rsidP="00193947">
      <w:pPr>
        <w:numPr>
          <w:ilvl w:val="0"/>
          <w:numId w:val="7"/>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Intrusion Detection/Prevention System (IDS/IPS) monitors network flows in real time, spotting and stopping abnormal or signature-based attacks.</w:t>
      </w:r>
    </w:p>
    <w:p w14:paraId="25A197F1" w14:textId="77777777" w:rsidR="00193947" w:rsidRPr="00193947" w:rsidRDefault="00193947" w:rsidP="00193947">
      <w:pPr>
        <w:numPr>
          <w:ilvl w:val="0"/>
          <w:numId w:val="7"/>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Web Application Firewall (WAF) protects web interfaces against OWASP-class threats (SQL injection, XSS, etc.).</w:t>
      </w:r>
    </w:p>
    <w:p w14:paraId="434ED157" w14:textId="77777777" w:rsidR="00193947" w:rsidRPr="00193947" w:rsidRDefault="00193947" w:rsidP="00193947">
      <w:pPr>
        <w:numPr>
          <w:ilvl w:val="0"/>
          <w:numId w:val="7"/>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Daily patching of servers and endpoints closes known vulnerabilities promptly.</w:t>
      </w:r>
    </w:p>
    <w:p w14:paraId="41C1D9D0" w14:textId="3553D0FE" w:rsidR="00193947" w:rsidRPr="00193947" w:rsidRDefault="00193947" w:rsidP="00193947">
      <w:pPr>
        <w:numPr>
          <w:ilvl w:val="0"/>
          <w:numId w:val="7"/>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Annual penetration tests (pentests) simulate real-world attacks to validate our defences and uncover hidden weaknesses.</w:t>
      </w:r>
    </w:p>
    <w:p w14:paraId="44CDC6EC" w14:textId="7BD56EC1" w:rsidR="00193947" w:rsidRPr="00193947" w:rsidRDefault="00193947" w:rsidP="00193947">
      <w:pPr>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Residual Risk (Low):</w:t>
      </w:r>
      <w:r w:rsidRPr="00193947">
        <w:rPr>
          <w:rFonts w:ascii="Open Sans" w:eastAsia="Times New Roman" w:hAnsi="Open Sans" w:cs="Open Sans"/>
          <w:kern w:val="0"/>
          <w:sz w:val="24"/>
          <w:szCs w:val="24"/>
          <w:lang w:eastAsia="en-GB"/>
          <w14:ligatures w14:val="none"/>
        </w:rPr>
        <w:br/>
        <w:t>Given these layered technical defences and continuous testing, the likelihood and potential impact of a large-scale breach are significantly reduced, meriting a “Low” residual rating.</w:t>
      </w:r>
    </w:p>
    <w:p w14:paraId="255514B7" w14:textId="4606DB6C" w:rsidR="00193947" w:rsidRPr="00193947" w:rsidRDefault="00193947" w:rsidP="00193947">
      <w:pPr>
        <w:jc w:val="both"/>
        <w:rPr>
          <w:rFonts w:ascii="Open Sans" w:eastAsia="Times New Roman" w:hAnsi="Open Sans" w:cs="Open Sans"/>
          <w:kern w:val="0"/>
          <w:sz w:val="24"/>
          <w:szCs w:val="24"/>
          <w:lang w:eastAsia="en-GB"/>
          <w14:ligatures w14:val="none"/>
        </w:rPr>
      </w:pPr>
    </w:p>
    <w:p w14:paraId="4C08872C" w14:textId="77777777" w:rsidR="00193947" w:rsidRPr="00193947" w:rsidRDefault="00193947" w:rsidP="00193947">
      <w:pPr>
        <w:jc w:val="both"/>
        <w:rPr>
          <w:rFonts w:ascii="Open Sans" w:eastAsia="Times New Roman" w:hAnsi="Open Sans" w:cs="Open Sans"/>
          <w:b/>
          <w:bC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Third-Party Risk</w:t>
      </w:r>
    </w:p>
    <w:p w14:paraId="7E3682E4"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FYM relies on a network of partners—KYC/AML vendors, banking and payments-rail providers, cloud-service hosts—to deliver our services. If any vendor fails their controls or experiences an outage, our operations and data could be disrupted or exposed.</w:t>
      </w:r>
    </w:p>
    <w:p w14:paraId="0C4851DA"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Impact:</w:t>
      </w:r>
      <w:r w:rsidRPr="00193947">
        <w:rPr>
          <w:rFonts w:ascii="Open Sans" w:eastAsia="Times New Roman" w:hAnsi="Open Sans" w:cs="Open Sans"/>
          <w:kern w:val="0"/>
          <w:sz w:val="24"/>
          <w:szCs w:val="24"/>
          <w:lang w:eastAsia="en-GB"/>
          <w14:ligatures w14:val="none"/>
        </w:rPr>
        <w:br/>
        <w:t>Third-party failure can lead to service downtime, transaction delays, and potential leakage of sensitive customer information.</w:t>
      </w:r>
    </w:p>
    <w:p w14:paraId="4D78D6C3"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Controls:</w:t>
      </w:r>
    </w:p>
    <w:p w14:paraId="2FD3C404" w14:textId="77777777" w:rsidR="00193947" w:rsidRPr="00193947" w:rsidRDefault="00193947" w:rsidP="00193947">
      <w:pPr>
        <w:numPr>
          <w:ilvl w:val="0"/>
          <w:numId w:val="8"/>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Vendor due diligence evaluates a partner’s financial stability, security posture and regulatory compliance before onboarding.</w:t>
      </w:r>
    </w:p>
    <w:p w14:paraId="6A13AABD" w14:textId="77777777" w:rsidR="00193947" w:rsidRPr="00193947" w:rsidRDefault="00193947" w:rsidP="00193947">
      <w:pPr>
        <w:numPr>
          <w:ilvl w:val="0"/>
          <w:numId w:val="8"/>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Service-level agreements (SLAs) specify uptime commitments, support response times and penalty clauses.</w:t>
      </w:r>
    </w:p>
    <w:p w14:paraId="0F89F3F9" w14:textId="77777777" w:rsidR="00193947" w:rsidRPr="00193947" w:rsidRDefault="00193947" w:rsidP="00193947">
      <w:pPr>
        <w:numPr>
          <w:ilvl w:val="0"/>
          <w:numId w:val="8"/>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Contractual audit rights (e.g. per Osborne Clarke model clauses) compel vendors to permit on-site or remote compliance reviews of their controls.</w:t>
      </w:r>
    </w:p>
    <w:p w14:paraId="3A614CBB" w14:textId="77777777" w:rsidR="00193947" w:rsidRPr="00193947" w:rsidRDefault="00193947" w:rsidP="00193947">
      <w:pPr>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lastRenderedPageBreak/>
        <w:t>Residual Risk (Medium):</w:t>
      </w:r>
      <w:r w:rsidRPr="00193947">
        <w:rPr>
          <w:rFonts w:ascii="Open Sans" w:eastAsia="Times New Roman" w:hAnsi="Open Sans" w:cs="Open Sans"/>
          <w:kern w:val="0"/>
          <w:sz w:val="24"/>
          <w:szCs w:val="24"/>
          <w:lang w:eastAsia="en-GB"/>
          <w14:ligatures w14:val="none"/>
        </w:rPr>
        <w:br/>
        <w:t>Although contractual protections and oversight reduce the chance of undetected lapses, we must still trust external entities’ adherence—hence a “Medium” residual rating.</w:t>
      </w:r>
    </w:p>
    <w:p w14:paraId="41C98164" w14:textId="101C9B13" w:rsidR="00193947" w:rsidRPr="00193947" w:rsidRDefault="00193947" w:rsidP="00193947">
      <w:pPr>
        <w:jc w:val="both"/>
        <w:rPr>
          <w:rFonts w:ascii="Open Sans" w:eastAsia="Times New Roman" w:hAnsi="Open Sans" w:cs="Open Sans"/>
          <w:kern w:val="0"/>
          <w:sz w:val="24"/>
          <w:szCs w:val="24"/>
          <w:lang w:eastAsia="en-GB"/>
          <w14:ligatures w14:val="none"/>
        </w:rPr>
      </w:pPr>
    </w:p>
    <w:p w14:paraId="5E187ABC" w14:textId="77777777" w:rsidR="005D026B" w:rsidRDefault="005D026B" w:rsidP="00193947">
      <w:pPr>
        <w:jc w:val="both"/>
        <w:rPr>
          <w:rFonts w:ascii="Open Sans" w:eastAsia="Times New Roman" w:hAnsi="Open Sans" w:cs="Open Sans"/>
          <w:b/>
          <w:bCs/>
          <w:kern w:val="0"/>
          <w:sz w:val="24"/>
          <w:szCs w:val="24"/>
          <w:lang w:eastAsia="en-GB"/>
          <w14:ligatures w14:val="none"/>
        </w:rPr>
      </w:pPr>
    </w:p>
    <w:p w14:paraId="6A75C2E6" w14:textId="51E52064" w:rsidR="00193947" w:rsidRPr="00193947" w:rsidRDefault="00193947" w:rsidP="00193947">
      <w:pPr>
        <w:jc w:val="both"/>
        <w:rPr>
          <w:rFonts w:ascii="Open Sans" w:eastAsia="Times New Roman" w:hAnsi="Open Sans" w:cs="Open Sans"/>
          <w:b/>
          <w:bC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Operational Failure</w:t>
      </w:r>
    </w:p>
    <w:p w14:paraId="42C2EF22"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Even with strong systems, human error or process breakdowns—such as misconfigured software deployments or incorrect reconciliation scripts—can disrupt transactions or produce data inconsistencies.</w:t>
      </w:r>
    </w:p>
    <w:p w14:paraId="4B5CD5AD"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Impact:</w:t>
      </w:r>
      <w:r w:rsidRPr="00193947">
        <w:rPr>
          <w:rFonts w:ascii="Open Sans" w:eastAsia="Times New Roman" w:hAnsi="Open Sans" w:cs="Open Sans"/>
          <w:kern w:val="0"/>
          <w:sz w:val="24"/>
          <w:szCs w:val="24"/>
          <w:lang w:eastAsia="en-GB"/>
          <w14:ligatures w14:val="none"/>
        </w:rPr>
        <w:br/>
        <w:t>Operational missteps can cause failed or duplicated payments, erode customer trust, and trigger regulatory inquiries if systemic.</w:t>
      </w:r>
    </w:p>
    <w:p w14:paraId="437E1E05"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Controls:</w:t>
      </w:r>
    </w:p>
    <w:p w14:paraId="58528D4B" w14:textId="77777777" w:rsidR="00193947" w:rsidRPr="00193947" w:rsidRDefault="00193947" w:rsidP="00193947">
      <w:pPr>
        <w:numPr>
          <w:ilvl w:val="0"/>
          <w:numId w:val="9"/>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Change-control process requires formal testing, peer review and sign-off before any configuration or code change is deployed.</w:t>
      </w:r>
    </w:p>
    <w:p w14:paraId="72034A2A" w14:textId="77777777" w:rsidR="00193947" w:rsidRPr="00193947" w:rsidRDefault="00193947" w:rsidP="00193947">
      <w:pPr>
        <w:numPr>
          <w:ilvl w:val="0"/>
          <w:numId w:val="9"/>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Risk and Control Self-Assessments (RCSAs) regularly map key processes to controls, identifying gaps before they lead to incidents.</w:t>
      </w:r>
    </w:p>
    <w:p w14:paraId="034117E3" w14:textId="77777777" w:rsidR="00193947" w:rsidRPr="00193947" w:rsidRDefault="00193947" w:rsidP="00193947">
      <w:pPr>
        <w:numPr>
          <w:ilvl w:val="0"/>
          <w:numId w:val="9"/>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Log monitoring (via automated services) flags unusual system events or unauthorized access, enabling rapid corrective action.</w:t>
      </w:r>
    </w:p>
    <w:p w14:paraId="733DFEDB" w14:textId="77777777" w:rsidR="00193947" w:rsidRPr="00193947" w:rsidRDefault="00193947" w:rsidP="00193947">
      <w:pPr>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Residual Risk (Low):</w:t>
      </w:r>
      <w:r w:rsidRPr="00193947">
        <w:rPr>
          <w:rFonts w:ascii="Open Sans" w:eastAsia="Times New Roman" w:hAnsi="Open Sans" w:cs="Open Sans"/>
          <w:kern w:val="0"/>
          <w:sz w:val="24"/>
          <w:szCs w:val="24"/>
          <w:lang w:eastAsia="en-GB"/>
          <w14:ligatures w14:val="none"/>
        </w:rPr>
        <w:br/>
        <w:t>Structured governance and automation catch most errors early, leaving a “Low” residual risk that occasional anomalies could slip through.</w:t>
      </w:r>
    </w:p>
    <w:p w14:paraId="2C671BE3" w14:textId="3475DD67" w:rsidR="00193947" w:rsidRPr="00193947" w:rsidRDefault="00193947" w:rsidP="00193947">
      <w:pPr>
        <w:jc w:val="both"/>
        <w:rPr>
          <w:rFonts w:ascii="Open Sans" w:eastAsia="Times New Roman" w:hAnsi="Open Sans" w:cs="Open Sans"/>
          <w:kern w:val="0"/>
          <w:sz w:val="24"/>
          <w:szCs w:val="24"/>
          <w:lang w:eastAsia="en-GB"/>
          <w14:ligatures w14:val="none"/>
        </w:rPr>
      </w:pPr>
    </w:p>
    <w:p w14:paraId="0AA5957B" w14:textId="77777777" w:rsidR="00193947" w:rsidRPr="00193947" w:rsidRDefault="00193947" w:rsidP="00193947">
      <w:pPr>
        <w:jc w:val="both"/>
        <w:rPr>
          <w:rFonts w:ascii="Open Sans" w:eastAsia="Times New Roman" w:hAnsi="Open Sans" w:cs="Open Sans"/>
          <w:b/>
          <w:bC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Data Breach</w:t>
      </w:r>
    </w:p>
    <w:p w14:paraId="0D644423"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Unauthorized access to Primary Account Numbers (PANs), Personally Identifiable Information (PII) or other customer data exposes us to GDPR fines, banking regulations, and severe reputational harm.</w:t>
      </w:r>
    </w:p>
    <w:p w14:paraId="5A96ABE2"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Impact:</w:t>
      </w:r>
      <w:r w:rsidRPr="00193947">
        <w:rPr>
          <w:rFonts w:ascii="Open Sans" w:eastAsia="Times New Roman" w:hAnsi="Open Sans" w:cs="Open Sans"/>
          <w:kern w:val="0"/>
          <w:sz w:val="24"/>
          <w:szCs w:val="24"/>
          <w:lang w:eastAsia="en-GB"/>
          <w14:ligatures w14:val="none"/>
        </w:rPr>
        <w:br/>
        <w:t>A data breach carries the twin costs of regulatory penalties and loss of customer confidence—potentially irreparable for a nascent EMI.</w:t>
      </w:r>
    </w:p>
    <w:p w14:paraId="614CEDA4" w14:textId="77777777" w:rsidR="00193947" w:rsidRPr="00193947" w:rsidRDefault="00193947" w:rsidP="00193947">
      <w:p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Controls:</w:t>
      </w:r>
    </w:p>
    <w:p w14:paraId="5F45A609" w14:textId="77777777" w:rsidR="00193947" w:rsidRPr="00193947" w:rsidRDefault="00193947" w:rsidP="00193947">
      <w:pPr>
        <w:numPr>
          <w:ilvl w:val="0"/>
          <w:numId w:val="10"/>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lastRenderedPageBreak/>
        <w:t>Encryption (AES-256) secures data at rest, preventing plaintext exposure if storage media are compromised.</w:t>
      </w:r>
    </w:p>
    <w:p w14:paraId="0DFF91F9" w14:textId="77777777" w:rsidR="00193947" w:rsidRPr="00193947" w:rsidRDefault="00193947" w:rsidP="00193947">
      <w:pPr>
        <w:numPr>
          <w:ilvl w:val="0"/>
          <w:numId w:val="10"/>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Hardware Security Module (HSM) tokenisation ensures sensitive fields (card details, keys) never appear in application memory in cleartext.</w:t>
      </w:r>
    </w:p>
    <w:p w14:paraId="208FA3BF" w14:textId="77777777" w:rsidR="00193947" w:rsidRPr="00193947" w:rsidRDefault="00193947" w:rsidP="00193947">
      <w:pPr>
        <w:numPr>
          <w:ilvl w:val="0"/>
          <w:numId w:val="10"/>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Role-Based Access Control (RBAC) limits data visibility strictly to those with a business need.</w:t>
      </w:r>
    </w:p>
    <w:p w14:paraId="4189A942" w14:textId="77777777" w:rsidR="00193947" w:rsidRPr="00193947" w:rsidRDefault="00193947" w:rsidP="00193947">
      <w:pPr>
        <w:numPr>
          <w:ilvl w:val="0"/>
          <w:numId w:val="10"/>
        </w:numPr>
        <w:jc w:val="both"/>
        <w:rPr>
          <w:rFonts w:ascii="Open Sans" w:eastAsia="Times New Roman" w:hAnsi="Open Sans" w:cs="Open Sans"/>
          <w:kern w:val="0"/>
          <w:sz w:val="24"/>
          <w:szCs w:val="24"/>
          <w:lang w:eastAsia="en-GB"/>
          <w14:ligatures w14:val="none"/>
        </w:rPr>
      </w:pPr>
      <w:r w:rsidRPr="00193947">
        <w:rPr>
          <w:rFonts w:ascii="Open Sans" w:eastAsia="Times New Roman" w:hAnsi="Open Sans" w:cs="Open Sans"/>
          <w:kern w:val="0"/>
          <w:sz w:val="24"/>
          <w:szCs w:val="24"/>
          <w:lang w:eastAsia="en-GB"/>
          <w14:ligatures w14:val="none"/>
        </w:rPr>
        <w:t>Multi-Factor Authentication (MFA) enforces an additional verification factor before any privileged access—aligning with FCA guidance in SUP 15 and GDPR best practice.</w:t>
      </w:r>
    </w:p>
    <w:p w14:paraId="592F1EC5" w14:textId="77777777" w:rsidR="00193947" w:rsidRPr="00193947" w:rsidRDefault="00193947" w:rsidP="00193947">
      <w:pPr>
        <w:rPr>
          <w:rFonts w:ascii="Open Sans" w:eastAsia="Times New Roman" w:hAnsi="Open Sans" w:cs="Open Sans"/>
          <w:kern w:val="0"/>
          <w:sz w:val="24"/>
          <w:szCs w:val="24"/>
          <w:lang w:eastAsia="en-GB"/>
          <w14:ligatures w14:val="none"/>
        </w:rPr>
      </w:pPr>
      <w:r w:rsidRPr="00193947">
        <w:rPr>
          <w:rFonts w:ascii="Open Sans" w:eastAsia="Times New Roman" w:hAnsi="Open Sans" w:cs="Open Sans"/>
          <w:b/>
          <w:bCs/>
          <w:kern w:val="0"/>
          <w:sz w:val="24"/>
          <w:szCs w:val="24"/>
          <w:lang w:eastAsia="en-GB"/>
          <w14:ligatures w14:val="none"/>
        </w:rPr>
        <w:t>Residual Risk (Low):</w:t>
      </w:r>
      <w:r w:rsidRPr="00193947">
        <w:rPr>
          <w:rFonts w:ascii="Open Sans" w:eastAsia="Times New Roman" w:hAnsi="Open Sans" w:cs="Open Sans"/>
          <w:kern w:val="0"/>
          <w:sz w:val="24"/>
          <w:szCs w:val="24"/>
          <w:lang w:eastAsia="en-GB"/>
          <w14:ligatures w14:val="none"/>
        </w:rPr>
        <w:br/>
        <w:t>Given end-to-end encryption, rigorous access controls, and strong authentication, the chance and impact of a material data breach are minimal, supporting a “Low” residual rating.</w:t>
      </w:r>
    </w:p>
    <w:p w14:paraId="7FBC4494" w14:textId="28BB866C" w:rsidR="00193947" w:rsidRPr="00193947" w:rsidRDefault="00193947" w:rsidP="00193947">
      <w:pPr>
        <w:jc w:val="both"/>
        <w:rPr>
          <w:rFonts w:ascii="Open Sans" w:eastAsia="Times New Roman" w:hAnsi="Open Sans" w:cs="Open Sans"/>
          <w:kern w:val="0"/>
          <w:sz w:val="24"/>
          <w:szCs w:val="24"/>
          <w:lang w:eastAsia="en-GB"/>
          <w14:ligatures w14:val="none"/>
        </w:rPr>
      </w:pPr>
    </w:p>
    <w:p w14:paraId="6DE5D550" w14:textId="1A37CF95" w:rsidR="00E24C10" w:rsidRPr="00E24C10" w:rsidRDefault="00E24C10" w:rsidP="00E24C10">
      <w:pPr>
        <w:jc w:val="both"/>
        <w:rPr>
          <w:rFonts w:ascii="Open Sans" w:eastAsia="Times New Roman" w:hAnsi="Open Sans" w:cs="Open Sans"/>
          <w:kern w:val="0"/>
          <w:sz w:val="24"/>
          <w:szCs w:val="24"/>
          <w:lang w:eastAsia="en-GB"/>
          <w14:ligatures w14:val="none"/>
        </w:rPr>
      </w:pPr>
    </w:p>
    <w:p w14:paraId="25355520" w14:textId="77777777" w:rsidR="00E24C10" w:rsidRPr="005D026B" w:rsidRDefault="00E24C10" w:rsidP="000B5F08">
      <w:pPr>
        <w:pStyle w:val="Heading2"/>
        <w:rPr>
          <w:rFonts w:ascii="Open Sans" w:eastAsia="Times New Roman" w:hAnsi="Open Sans" w:cs="Open Sans"/>
          <w:b/>
          <w:bCs/>
          <w:sz w:val="24"/>
          <w:szCs w:val="24"/>
          <w:lang w:eastAsia="en-GB"/>
        </w:rPr>
      </w:pPr>
      <w:bookmarkStart w:id="2" w:name="_Toc205048245"/>
      <w:r w:rsidRPr="005D026B">
        <w:rPr>
          <w:rFonts w:ascii="Open Sans" w:eastAsia="Times New Roman" w:hAnsi="Open Sans" w:cs="Open Sans"/>
          <w:b/>
          <w:bCs/>
          <w:sz w:val="24"/>
          <w:szCs w:val="24"/>
          <w:lang w:eastAsia="en-GB"/>
        </w:rPr>
        <w:t>2. IT Security Measures and Mechanisms</w:t>
      </w:r>
      <w:bookmarkEnd w:id="2"/>
    </w:p>
    <w:p w14:paraId="0A0F783B"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Our IT security stack aligns with PCI DSS v4.0, NCSC Cloud Security Principles, and EBA Guidelines to ensure comprehensive protection:</w:t>
      </w:r>
    </w:p>
    <w:p w14:paraId="0E842D7A"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Network Security &amp; Configuration Management</w:t>
      </w:r>
    </w:p>
    <w:p w14:paraId="7FD16414"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 xml:space="preserve">Deploy Next-Generation Firewalls and segregated VLANs for production, development and management networks (PCI DSS </w:t>
      </w:r>
      <w:proofErr w:type="spellStart"/>
      <w:r w:rsidRPr="00E24C10">
        <w:rPr>
          <w:rFonts w:ascii="Open Sans" w:eastAsia="Times New Roman" w:hAnsi="Open Sans" w:cs="Open Sans"/>
          <w:kern w:val="0"/>
          <w:sz w:val="24"/>
          <w:szCs w:val="24"/>
          <w:lang w:eastAsia="en-GB"/>
          <w14:ligatures w14:val="none"/>
        </w:rPr>
        <w:t>Req</w:t>
      </w:r>
      <w:proofErr w:type="spellEnd"/>
      <w:r w:rsidRPr="00E24C10">
        <w:rPr>
          <w:rFonts w:ascii="Open Sans" w:eastAsia="Times New Roman" w:hAnsi="Open Sans" w:cs="Open Sans"/>
          <w:kern w:val="0"/>
          <w:sz w:val="24"/>
          <w:szCs w:val="24"/>
          <w:lang w:eastAsia="en-GB"/>
          <w14:ligatures w14:val="none"/>
        </w:rPr>
        <w:t xml:space="preserve"> 1–2</w:t>
      </w:r>
      <w:proofErr w:type="gramStart"/>
      <w:r w:rsidRPr="00E24C10">
        <w:rPr>
          <w:rFonts w:ascii="Open Sans" w:eastAsia="Times New Roman" w:hAnsi="Open Sans" w:cs="Open Sans"/>
          <w:kern w:val="0"/>
          <w:sz w:val="24"/>
          <w:szCs w:val="24"/>
          <w:lang w:eastAsia="en-GB"/>
          <w14:ligatures w14:val="none"/>
        </w:rPr>
        <w:t>) .</w:t>
      </w:r>
      <w:proofErr w:type="gramEnd"/>
    </w:p>
    <w:p w14:paraId="1EF94D67"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Harden all servers to industry benchmarks (CIS, NCSC) by removing default accounts, disabling unused services, and enforcing patch management within 14 days (</w:t>
      </w:r>
      <w:hyperlink r:id="rId12" w:tooltip="[PDF] Payment Services and Electronic Money – Our Approach" w:history="1">
        <w:r w:rsidRPr="00E24C10">
          <w:rPr>
            <w:rFonts w:ascii="Open Sans" w:eastAsia="Times New Roman" w:hAnsi="Open Sans" w:cs="Open Sans"/>
            <w:color w:val="0000FF"/>
            <w:kern w:val="0"/>
            <w:sz w:val="24"/>
            <w:szCs w:val="24"/>
            <w:u w:val="single"/>
            <w:lang w:eastAsia="en-GB"/>
            <w14:ligatures w14:val="none"/>
          </w:rPr>
          <w:t>service.betterregulation.com</w:t>
        </w:r>
      </w:hyperlink>
      <w:r w:rsidRPr="00E24C10">
        <w:rPr>
          <w:rFonts w:ascii="Open Sans" w:eastAsia="Times New Roman" w:hAnsi="Open Sans" w:cs="Open Sans"/>
          <w:kern w:val="0"/>
          <w:sz w:val="24"/>
          <w:szCs w:val="24"/>
          <w:lang w:eastAsia="en-GB"/>
          <w14:ligatures w14:val="none"/>
        </w:rPr>
        <w:t>).</w:t>
      </w:r>
    </w:p>
    <w:p w14:paraId="5D1B1EE4" w14:textId="77777777" w:rsidR="00E24C10" w:rsidRPr="00E24C10" w:rsidRDefault="00E24C10" w:rsidP="00E24C10">
      <w:pPr>
        <w:jc w:val="both"/>
        <w:rPr>
          <w:rFonts w:ascii="Open Sans" w:eastAsia="Times New Roman" w:hAnsi="Open Sans" w:cs="Open Sans"/>
          <w:b/>
          <w:bCs/>
          <w:i/>
          <w:iCs/>
          <w:kern w:val="0"/>
          <w:sz w:val="24"/>
          <w:szCs w:val="24"/>
          <w:lang w:eastAsia="en-GB"/>
          <w14:ligatures w14:val="none"/>
        </w:rPr>
      </w:pPr>
      <w:r w:rsidRPr="00E24C10">
        <w:rPr>
          <w:rFonts w:ascii="Open Sans" w:eastAsia="Times New Roman" w:hAnsi="Open Sans" w:cs="Open Sans"/>
          <w:b/>
          <w:bCs/>
          <w:i/>
          <w:iCs/>
          <w:kern w:val="0"/>
          <w:sz w:val="24"/>
          <w:szCs w:val="24"/>
          <w:lang w:eastAsia="en-GB"/>
          <w14:ligatures w14:val="none"/>
        </w:rPr>
        <w:t>Intrusion Detection &amp; Prevention</w:t>
      </w:r>
    </w:p>
    <w:p w14:paraId="747CECB0"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Implement IDS/IPS appliances that inspect all east-west and north-south traffic, integrating with our SIEM for 24/7 correlation and alerting (EBA Guideline 9) (</w:t>
      </w:r>
      <w:hyperlink r:id="rId13" w:tooltip="EBA publishes final Guidelines on security measures under PSD2" w:history="1">
        <w:r w:rsidRPr="00E24C10">
          <w:rPr>
            <w:rFonts w:ascii="Open Sans" w:eastAsia="Times New Roman" w:hAnsi="Open Sans" w:cs="Open Sans"/>
            <w:color w:val="0000FF"/>
            <w:kern w:val="0"/>
            <w:sz w:val="24"/>
            <w:szCs w:val="24"/>
            <w:u w:val="single"/>
            <w:lang w:eastAsia="en-GB"/>
            <w14:ligatures w14:val="none"/>
          </w:rPr>
          <w:t>eba.europa.eu</w:t>
        </w:r>
      </w:hyperlink>
      <w:r w:rsidRPr="00E24C10">
        <w:rPr>
          <w:rFonts w:ascii="Open Sans" w:eastAsia="Times New Roman" w:hAnsi="Open Sans" w:cs="Open Sans"/>
          <w:kern w:val="0"/>
          <w:sz w:val="24"/>
          <w:szCs w:val="24"/>
          <w:lang w:eastAsia="en-GB"/>
          <w14:ligatures w14:val="none"/>
        </w:rPr>
        <w:t>).</w:t>
      </w:r>
    </w:p>
    <w:p w14:paraId="7791104C"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Conduct quarterly Red Team assessments to validate detection capabilities and refine signatures.</w:t>
      </w:r>
    </w:p>
    <w:p w14:paraId="2B6177A8" w14:textId="77777777" w:rsidR="005D026B" w:rsidRDefault="005D026B" w:rsidP="00E24C10">
      <w:pPr>
        <w:jc w:val="both"/>
        <w:rPr>
          <w:rFonts w:ascii="Open Sans" w:eastAsia="Times New Roman" w:hAnsi="Open Sans" w:cs="Open Sans"/>
          <w:b/>
          <w:bCs/>
          <w:i/>
          <w:iCs/>
          <w:kern w:val="0"/>
          <w:sz w:val="24"/>
          <w:szCs w:val="24"/>
          <w:lang w:eastAsia="en-GB"/>
          <w14:ligatures w14:val="none"/>
        </w:rPr>
      </w:pPr>
    </w:p>
    <w:p w14:paraId="6A3E19F1" w14:textId="77777777" w:rsidR="005D026B" w:rsidRDefault="005D026B" w:rsidP="00E24C10">
      <w:pPr>
        <w:jc w:val="both"/>
        <w:rPr>
          <w:rFonts w:ascii="Open Sans" w:eastAsia="Times New Roman" w:hAnsi="Open Sans" w:cs="Open Sans"/>
          <w:b/>
          <w:bCs/>
          <w:i/>
          <w:iCs/>
          <w:kern w:val="0"/>
          <w:sz w:val="24"/>
          <w:szCs w:val="24"/>
          <w:lang w:eastAsia="en-GB"/>
          <w14:ligatures w14:val="none"/>
        </w:rPr>
      </w:pPr>
    </w:p>
    <w:p w14:paraId="132B3743" w14:textId="553841B8"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lastRenderedPageBreak/>
        <w:t>Anti-Malware &amp; Vulnerability Management</w:t>
      </w:r>
    </w:p>
    <w:p w14:paraId="7BF3BE5B" w14:textId="25DDC1F9"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 xml:space="preserve">Enforce host-based antivirus with real-time scanning on all endpoints (PCI DSS </w:t>
      </w:r>
      <w:proofErr w:type="spellStart"/>
      <w:r w:rsidRPr="00E24C10">
        <w:rPr>
          <w:rFonts w:ascii="Open Sans" w:eastAsia="Times New Roman" w:hAnsi="Open Sans" w:cs="Open Sans"/>
          <w:kern w:val="0"/>
          <w:sz w:val="24"/>
          <w:szCs w:val="24"/>
          <w:lang w:eastAsia="en-GB"/>
          <w14:ligatures w14:val="none"/>
        </w:rPr>
        <w:t>Req</w:t>
      </w:r>
      <w:proofErr w:type="spellEnd"/>
      <w:r w:rsidRPr="00E24C10">
        <w:rPr>
          <w:rFonts w:ascii="Open Sans" w:eastAsia="Times New Roman" w:hAnsi="Open Sans" w:cs="Open Sans"/>
          <w:kern w:val="0"/>
          <w:sz w:val="24"/>
          <w:szCs w:val="24"/>
          <w:lang w:eastAsia="en-GB"/>
          <w14:ligatures w14:val="none"/>
        </w:rPr>
        <w:t xml:space="preserve"> 5) and centrally manage definitions, logs and remediation </w:t>
      </w:r>
      <w:r w:rsidR="00193947" w:rsidRPr="00E24C10">
        <w:rPr>
          <w:rFonts w:ascii="Open Sans" w:eastAsia="Times New Roman" w:hAnsi="Open Sans" w:cs="Open Sans"/>
          <w:kern w:val="0"/>
          <w:sz w:val="24"/>
          <w:szCs w:val="24"/>
          <w:lang w:eastAsia="en-GB"/>
          <w14:ligatures w14:val="none"/>
        </w:rPr>
        <w:t>actions.</w:t>
      </w:r>
    </w:p>
    <w:p w14:paraId="50DAB207"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Perform quarterly authenticated vulnerability scans and annual penetration tests; findings are tracked in our risk register with closure SLAs of 30 days for critical issues (</w:t>
      </w:r>
      <w:hyperlink r:id="rId14" w:tooltip="[PDF] Payment Services and Electronic Money – Our Approach" w:history="1">
        <w:r w:rsidRPr="00E24C10">
          <w:rPr>
            <w:rFonts w:ascii="Open Sans" w:eastAsia="Times New Roman" w:hAnsi="Open Sans" w:cs="Open Sans"/>
            <w:color w:val="0000FF"/>
            <w:kern w:val="0"/>
            <w:sz w:val="24"/>
            <w:szCs w:val="24"/>
            <w:u w:val="single"/>
            <w:lang w:eastAsia="en-GB"/>
            <w14:ligatures w14:val="none"/>
          </w:rPr>
          <w:t>service.betterregulation.com</w:t>
        </w:r>
      </w:hyperlink>
      <w:r w:rsidRPr="00E24C10">
        <w:rPr>
          <w:rFonts w:ascii="Open Sans" w:eastAsia="Times New Roman" w:hAnsi="Open Sans" w:cs="Open Sans"/>
          <w:kern w:val="0"/>
          <w:sz w:val="24"/>
          <w:szCs w:val="24"/>
          <w:lang w:eastAsia="en-GB"/>
          <w14:ligatures w14:val="none"/>
        </w:rPr>
        <w:t>).</w:t>
      </w:r>
    </w:p>
    <w:p w14:paraId="70EC91E1" w14:textId="77777777"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Encryption &amp; Key Management</w:t>
      </w:r>
    </w:p>
    <w:p w14:paraId="3EA54EB0"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All sensitive data in transit is protected with TLS 1.2+; at rest, data is encrypted using AES-256.</w:t>
      </w:r>
    </w:p>
    <w:p w14:paraId="66C889C8"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Keys are generated, stored and rotated in FIPS 140-2 Level 3 Hardware Security Modules, ensuring separation of duties (EBA Guideline 4) (</w:t>
      </w:r>
      <w:hyperlink r:id="rId15" w:tooltip="[PDF] Guidelines" w:history="1">
        <w:r w:rsidRPr="00E24C10">
          <w:rPr>
            <w:rFonts w:ascii="Open Sans" w:eastAsia="Times New Roman" w:hAnsi="Open Sans" w:cs="Open Sans"/>
            <w:color w:val="0000FF"/>
            <w:kern w:val="0"/>
            <w:sz w:val="24"/>
            <w:szCs w:val="24"/>
            <w:u w:val="single"/>
            <w:lang w:eastAsia="en-GB"/>
            <w14:ligatures w14:val="none"/>
          </w:rPr>
          <w:t>fi.ee</w:t>
        </w:r>
      </w:hyperlink>
      <w:r w:rsidRPr="00E24C10">
        <w:rPr>
          <w:rFonts w:ascii="Open Sans" w:eastAsia="Times New Roman" w:hAnsi="Open Sans" w:cs="Open Sans"/>
          <w:kern w:val="0"/>
          <w:sz w:val="24"/>
          <w:szCs w:val="24"/>
          <w:lang w:eastAsia="en-GB"/>
          <w14:ligatures w14:val="none"/>
        </w:rPr>
        <w:t>).</w:t>
      </w:r>
    </w:p>
    <w:p w14:paraId="365AA150" w14:textId="77777777"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Identity &amp; Access Management</w:t>
      </w:r>
    </w:p>
    <w:p w14:paraId="4DEB43DE"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Enforce Strong Authentication (MFA) for all user accounts; privileged access requires physical token and biometric factor per SCA-RTS and NCSC principles (</w:t>
      </w:r>
      <w:hyperlink r:id="rId16" w:tooltip="EBA Guidelines on Operational and Security Risks under PSD2 | FCA" w:history="1">
        <w:r w:rsidRPr="00E24C10">
          <w:rPr>
            <w:rFonts w:ascii="Open Sans" w:eastAsia="Times New Roman" w:hAnsi="Open Sans" w:cs="Open Sans"/>
            <w:color w:val="0000FF"/>
            <w:kern w:val="0"/>
            <w:sz w:val="24"/>
            <w:szCs w:val="24"/>
            <w:u w:val="single"/>
            <w:lang w:eastAsia="en-GB"/>
            <w14:ligatures w14:val="none"/>
          </w:rPr>
          <w:t>fca.org.uk</w:t>
        </w:r>
      </w:hyperlink>
      <w:r w:rsidRPr="00E24C10">
        <w:rPr>
          <w:rFonts w:ascii="Open Sans" w:eastAsia="Times New Roman" w:hAnsi="Open Sans" w:cs="Open Sans"/>
          <w:kern w:val="0"/>
          <w:sz w:val="24"/>
          <w:szCs w:val="24"/>
          <w:lang w:eastAsia="en-GB"/>
          <w14:ligatures w14:val="none"/>
        </w:rPr>
        <w:t>).</w:t>
      </w:r>
    </w:p>
    <w:p w14:paraId="55977244"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Implement RBAC with least-privilege policies; access reviews are automated and executed quarterly, revoking stale rights within 5 business days (</w:t>
      </w:r>
      <w:hyperlink r:id="rId17" w:tooltip="[PDF] Payment Services and Electronic Money – Our Approach" w:history="1">
        <w:r w:rsidRPr="00E24C10">
          <w:rPr>
            <w:rFonts w:ascii="Open Sans" w:eastAsia="Times New Roman" w:hAnsi="Open Sans" w:cs="Open Sans"/>
            <w:color w:val="0000FF"/>
            <w:kern w:val="0"/>
            <w:sz w:val="24"/>
            <w:szCs w:val="24"/>
            <w:u w:val="single"/>
            <w:lang w:eastAsia="en-GB"/>
            <w14:ligatures w14:val="none"/>
          </w:rPr>
          <w:t>service.betterregulation.com</w:t>
        </w:r>
      </w:hyperlink>
      <w:r w:rsidRPr="00E24C10">
        <w:rPr>
          <w:rFonts w:ascii="Open Sans" w:eastAsia="Times New Roman" w:hAnsi="Open Sans" w:cs="Open Sans"/>
          <w:kern w:val="0"/>
          <w:sz w:val="24"/>
          <w:szCs w:val="24"/>
          <w:lang w:eastAsia="en-GB"/>
          <w14:ligatures w14:val="none"/>
        </w:rPr>
        <w:t>).</w:t>
      </w:r>
    </w:p>
    <w:p w14:paraId="2E0773A5" w14:textId="14AE5B57" w:rsidR="00E24C10" w:rsidRPr="00E24C10" w:rsidRDefault="00E24C10" w:rsidP="00E24C10">
      <w:pPr>
        <w:jc w:val="both"/>
        <w:rPr>
          <w:rFonts w:ascii="Open Sans" w:eastAsia="Times New Roman" w:hAnsi="Open Sans" w:cs="Open Sans"/>
          <w:kern w:val="0"/>
          <w:sz w:val="24"/>
          <w:szCs w:val="24"/>
          <w:lang w:eastAsia="en-GB"/>
          <w14:ligatures w14:val="none"/>
        </w:rPr>
      </w:pPr>
    </w:p>
    <w:p w14:paraId="6EEC4BB8" w14:textId="77777777" w:rsidR="00E24C10" w:rsidRPr="005D026B" w:rsidRDefault="00E24C10" w:rsidP="000B5F08">
      <w:pPr>
        <w:pStyle w:val="Heading2"/>
        <w:rPr>
          <w:rFonts w:ascii="Open Sans" w:eastAsia="Times New Roman" w:hAnsi="Open Sans" w:cs="Open Sans"/>
          <w:b/>
          <w:bCs/>
          <w:sz w:val="24"/>
          <w:szCs w:val="24"/>
          <w:lang w:eastAsia="en-GB"/>
        </w:rPr>
      </w:pPr>
      <w:bookmarkStart w:id="3" w:name="_Toc205048246"/>
      <w:r w:rsidRPr="005D026B">
        <w:rPr>
          <w:rFonts w:ascii="Open Sans" w:eastAsia="Times New Roman" w:hAnsi="Open Sans" w:cs="Open Sans"/>
          <w:b/>
          <w:bCs/>
          <w:sz w:val="24"/>
          <w:szCs w:val="24"/>
          <w:lang w:eastAsia="en-GB"/>
        </w:rPr>
        <w:t>3. Physical Security Measures</w:t>
      </w:r>
      <w:bookmarkEnd w:id="3"/>
    </w:p>
    <w:p w14:paraId="7A21B652"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FYM’s head office in Walsall and our cloud data centres adhere to strict physical and environmental controls:</w:t>
      </w:r>
    </w:p>
    <w:p w14:paraId="7A5C57F4" w14:textId="77777777"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Head Office Controls</w:t>
      </w:r>
    </w:p>
    <w:p w14:paraId="43A728B2"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Secure entry via proximity badges and PIN pads; visitor management with escorted access; 24/7 monitored CCTV (EBA Guideline 8) (</w:t>
      </w:r>
      <w:hyperlink r:id="rId18" w:tooltip="FCA launches consultation on new safeguarding requirements for ..." w:history="1">
        <w:r w:rsidRPr="00E24C10">
          <w:rPr>
            <w:rFonts w:ascii="Open Sans" w:eastAsia="Times New Roman" w:hAnsi="Open Sans" w:cs="Open Sans"/>
            <w:color w:val="0000FF"/>
            <w:kern w:val="0"/>
            <w:sz w:val="24"/>
            <w:szCs w:val="24"/>
            <w:u w:val="single"/>
            <w:lang w:eastAsia="en-GB"/>
            <w14:ligatures w14:val="none"/>
          </w:rPr>
          <w:t>twobirds.com</w:t>
        </w:r>
      </w:hyperlink>
      <w:r w:rsidRPr="00E24C10">
        <w:rPr>
          <w:rFonts w:ascii="Open Sans" w:eastAsia="Times New Roman" w:hAnsi="Open Sans" w:cs="Open Sans"/>
          <w:kern w:val="0"/>
          <w:sz w:val="24"/>
          <w:szCs w:val="24"/>
          <w:lang w:eastAsia="en-GB"/>
          <w14:ligatures w14:val="none"/>
        </w:rPr>
        <w:t>).</w:t>
      </w:r>
    </w:p>
    <w:p w14:paraId="7ED114A5"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Dedicated secure server room with biometric locks, fire-suppression (FM200), UPS backup and regular environmental monitoring (temperature, humidity, leak detection).</w:t>
      </w:r>
    </w:p>
    <w:p w14:paraId="3611F1EE" w14:textId="77777777"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Data Centre Security</w:t>
      </w:r>
    </w:p>
    <w:p w14:paraId="697B1831"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Production on AWS in ISO 27001 and PCI DSS Level 1 certified facilities (UK South/West</w:t>
      </w:r>
      <w:proofErr w:type="gramStart"/>
      <w:r w:rsidRPr="00E24C10">
        <w:rPr>
          <w:rFonts w:ascii="Open Sans" w:eastAsia="Times New Roman" w:hAnsi="Open Sans" w:cs="Open Sans"/>
          <w:kern w:val="0"/>
          <w:sz w:val="24"/>
          <w:szCs w:val="24"/>
          <w:lang w:eastAsia="en-GB"/>
          <w14:ligatures w14:val="none"/>
        </w:rPr>
        <w:t>) .</w:t>
      </w:r>
      <w:proofErr w:type="gramEnd"/>
    </w:p>
    <w:p w14:paraId="325BFCBF"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lastRenderedPageBreak/>
        <w:t>Multi-factor access (badge + biometrics), mantraps, segregated racks/cages, redundant power and network, environmental controls, and 24/7 security personnel.</w:t>
      </w:r>
    </w:p>
    <w:p w14:paraId="5B4A5847" w14:textId="77777777" w:rsidR="00193947" w:rsidRDefault="00193947" w:rsidP="00E24C10">
      <w:pPr>
        <w:jc w:val="both"/>
        <w:rPr>
          <w:rFonts w:ascii="Open Sans" w:eastAsia="Times New Roman" w:hAnsi="Open Sans" w:cs="Open Sans"/>
          <w:b/>
          <w:bCs/>
          <w:i/>
          <w:iCs/>
          <w:kern w:val="0"/>
          <w:sz w:val="24"/>
          <w:szCs w:val="24"/>
          <w:lang w:eastAsia="en-GB"/>
          <w14:ligatures w14:val="none"/>
        </w:rPr>
      </w:pPr>
    </w:p>
    <w:p w14:paraId="0DFC0946" w14:textId="476726DA"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Business Continuity &amp; Disaster Recovery</w:t>
      </w:r>
    </w:p>
    <w:p w14:paraId="18FC8CC3"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Geo-redundant backups with RTO ≤ 2 hrs and RPO ≤ 15 mins; bi-annual failover drills and annual end-to-end BCP simulation with full documentation of results (</w:t>
      </w:r>
      <w:hyperlink r:id="rId19" w:tooltip="[PDF] Payment Services and Electronic Money – Our Approach" w:history="1">
        <w:r w:rsidRPr="00E24C10">
          <w:rPr>
            <w:rFonts w:ascii="Open Sans" w:eastAsia="Times New Roman" w:hAnsi="Open Sans" w:cs="Open Sans"/>
            <w:color w:val="0000FF"/>
            <w:kern w:val="0"/>
            <w:sz w:val="24"/>
            <w:szCs w:val="24"/>
            <w:u w:val="single"/>
            <w:lang w:eastAsia="en-GB"/>
            <w14:ligatures w14:val="none"/>
          </w:rPr>
          <w:t>service.betterregulation.com</w:t>
        </w:r>
      </w:hyperlink>
      <w:r w:rsidRPr="00E24C10">
        <w:rPr>
          <w:rFonts w:ascii="Open Sans" w:eastAsia="Times New Roman" w:hAnsi="Open Sans" w:cs="Open Sans"/>
          <w:kern w:val="0"/>
          <w:sz w:val="24"/>
          <w:szCs w:val="24"/>
          <w:lang w:eastAsia="en-GB"/>
          <w14:ligatures w14:val="none"/>
        </w:rPr>
        <w:t>).</w:t>
      </w:r>
    </w:p>
    <w:p w14:paraId="2BB0CF83" w14:textId="47F171FA" w:rsidR="00E24C10" w:rsidRPr="00E24C10" w:rsidRDefault="00E24C10" w:rsidP="00E24C10">
      <w:pPr>
        <w:jc w:val="both"/>
        <w:rPr>
          <w:rFonts w:ascii="Open Sans" w:eastAsia="Times New Roman" w:hAnsi="Open Sans" w:cs="Open Sans"/>
          <w:kern w:val="0"/>
          <w:sz w:val="24"/>
          <w:szCs w:val="24"/>
          <w:lang w:eastAsia="en-GB"/>
          <w14:ligatures w14:val="none"/>
        </w:rPr>
      </w:pPr>
    </w:p>
    <w:p w14:paraId="391590AF" w14:textId="77777777" w:rsidR="00E24C10" w:rsidRPr="005D026B" w:rsidRDefault="00E24C10" w:rsidP="000B5F08">
      <w:pPr>
        <w:pStyle w:val="Heading2"/>
        <w:rPr>
          <w:rFonts w:ascii="Open Sans" w:eastAsia="Times New Roman" w:hAnsi="Open Sans" w:cs="Open Sans"/>
          <w:b/>
          <w:bCs/>
          <w:sz w:val="24"/>
          <w:szCs w:val="24"/>
          <w:lang w:eastAsia="en-GB"/>
        </w:rPr>
      </w:pPr>
      <w:bookmarkStart w:id="4" w:name="_Toc205048247"/>
      <w:r w:rsidRPr="005D026B">
        <w:rPr>
          <w:rFonts w:ascii="Open Sans" w:eastAsia="Times New Roman" w:hAnsi="Open Sans" w:cs="Open Sans"/>
          <w:b/>
          <w:bCs/>
          <w:sz w:val="24"/>
          <w:szCs w:val="24"/>
          <w:lang w:eastAsia="en-GB"/>
        </w:rPr>
        <w:t>4. Security of Payment Processes and Authentication</w:t>
      </w:r>
      <w:bookmarkEnd w:id="4"/>
    </w:p>
    <w:p w14:paraId="0B5C56FB"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We enforce Strong Customer Authentication for all consultative and transactional accesses, and protect underlying payment instruments:</w:t>
      </w:r>
    </w:p>
    <w:p w14:paraId="708180A5" w14:textId="77777777" w:rsidR="00E24C10" w:rsidRPr="005D026B" w:rsidRDefault="00E24C10" w:rsidP="00E24C10">
      <w:pPr>
        <w:jc w:val="both"/>
        <w:rPr>
          <w:rFonts w:ascii="Open Sans" w:eastAsia="Times New Roman" w:hAnsi="Open Sans" w:cs="Open Sans"/>
          <w:i/>
          <w:iCs/>
          <w:kern w:val="0"/>
          <w:sz w:val="24"/>
          <w:szCs w:val="24"/>
          <w:lang w:eastAsia="en-GB"/>
          <w14:ligatures w14:val="none"/>
        </w:rPr>
      </w:pPr>
      <w:r w:rsidRPr="005D026B">
        <w:rPr>
          <w:rFonts w:ascii="Open Sans" w:eastAsia="Times New Roman" w:hAnsi="Open Sans" w:cs="Open Sans"/>
          <w:i/>
          <w:iCs/>
          <w:kern w:val="0"/>
          <w:sz w:val="24"/>
          <w:szCs w:val="24"/>
          <w:lang w:eastAsia="en-GB"/>
          <w14:ligatures w14:val="none"/>
        </w:rPr>
        <w:t>Customer Authentication</w:t>
      </w:r>
    </w:p>
    <w:p w14:paraId="33313340"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PSRs 2017 Reg 100 compliance: Two of three factors—knowledge (PIN/password), possession (registered device), inherence (biometrics)—are required for payment initiation and account access (</w:t>
      </w:r>
      <w:hyperlink r:id="rId20" w:tooltip="EBA publishes final Guidelines on security measures under PSD2" w:history="1">
        <w:r w:rsidRPr="00E24C10">
          <w:rPr>
            <w:rFonts w:ascii="Open Sans" w:eastAsia="Times New Roman" w:hAnsi="Open Sans" w:cs="Open Sans"/>
            <w:color w:val="0000FF"/>
            <w:kern w:val="0"/>
            <w:sz w:val="24"/>
            <w:szCs w:val="24"/>
            <w:u w:val="single"/>
            <w:lang w:eastAsia="en-GB"/>
            <w14:ligatures w14:val="none"/>
          </w:rPr>
          <w:t>eba.europa.eu</w:t>
        </w:r>
      </w:hyperlink>
      <w:r w:rsidRPr="00E24C10">
        <w:rPr>
          <w:rFonts w:ascii="Open Sans" w:eastAsia="Times New Roman" w:hAnsi="Open Sans" w:cs="Open Sans"/>
          <w:kern w:val="0"/>
          <w:sz w:val="24"/>
          <w:szCs w:val="24"/>
          <w:lang w:eastAsia="en-GB"/>
          <w14:ligatures w14:val="none"/>
        </w:rPr>
        <w:t>).</w:t>
      </w:r>
    </w:p>
    <w:p w14:paraId="0187FB17"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Device-binding and risk-based challenge flows ensure minimal friction for low-risk transactions and extra checks for high-risk ones (EBA Guideline 12).</w:t>
      </w:r>
    </w:p>
    <w:p w14:paraId="58B856DA" w14:textId="77777777"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Card &amp; Wallet Instruments</w:t>
      </w:r>
    </w:p>
    <w:p w14:paraId="32E8DD90"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EMV chip-and-PIN and contactless limits (≤ £100); 3-D Secure v2 for online card payments with adaptive risk assessment (</w:t>
      </w:r>
      <w:hyperlink r:id="rId21" w:tooltip="[PDF] Payment Services and Electronic Money – Our Approach" w:history="1">
        <w:r w:rsidRPr="00E24C10">
          <w:rPr>
            <w:rFonts w:ascii="Open Sans" w:eastAsia="Times New Roman" w:hAnsi="Open Sans" w:cs="Open Sans"/>
            <w:color w:val="0000FF"/>
            <w:kern w:val="0"/>
            <w:sz w:val="24"/>
            <w:szCs w:val="24"/>
            <w:u w:val="single"/>
            <w:lang w:eastAsia="en-GB"/>
            <w14:ligatures w14:val="none"/>
          </w:rPr>
          <w:t>service.betterregulation.com</w:t>
        </w:r>
      </w:hyperlink>
      <w:r w:rsidRPr="00E24C10">
        <w:rPr>
          <w:rFonts w:ascii="Open Sans" w:eastAsia="Times New Roman" w:hAnsi="Open Sans" w:cs="Open Sans"/>
          <w:kern w:val="0"/>
          <w:sz w:val="24"/>
          <w:szCs w:val="24"/>
          <w:lang w:eastAsia="en-GB"/>
          <w14:ligatures w14:val="none"/>
        </w:rPr>
        <w:t>).</w:t>
      </w:r>
    </w:p>
    <w:p w14:paraId="2A889FA0" w14:textId="1F5EEA0E"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 xml:space="preserve">Tokenisation of </w:t>
      </w:r>
      <w:r w:rsidR="00574881" w:rsidRPr="00574881">
        <w:rPr>
          <w:rFonts w:ascii="Open Sans" w:eastAsia="Times New Roman" w:hAnsi="Open Sans" w:cs="Open Sans"/>
          <w:kern w:val="0"/>
          <w:sz w:val="24"/>
          <w:szCs w:val="24"/>
          <w:lang w:eastAsia="en-GB"/>
          <w14:ligatures w14:val="none"/>
        </w:rPr>
        <w:t>Primary Account Numbers (PANs) and Card Verification Values (CVVs) using a Hardware Security Module (HSM) is a security practice that replaces sensitive card data with non-sensitive tokens</w:t>
      </w:r>
      <w:r w:rsidRPr="00E24C10">
        <w:rPr>
          <w:rFonts w:ascii="Open Sans" w:eastAsia="Times New Roman" w:hAnsi="Open Sans" w:cs="Open Sans"/>
          <w:kern w:val="0"/>
          <w:sz w:val="24"/>
          <w:szCs w:val="24"/>
          <w:lang w:eastAsia="en-GB"/>
          <w14:ligatures w14:val="none"/>
        </w:rPr>
        <w:t>; mobile wallets leverage secure elements on devices.</w:t>
      </w:r>
    </w:p>
    <w:p w14:paraId="56608D72" w14:textId="77777777"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Administrative Access</w:t>
      </w:r>
    </w:p>
    <w:p w14:paraId="511F43D3" w14:textId="2CE6C5A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Staff portals require corporate</w:t>
      </w:r>
      <w:r w:rsidR="00574881">
        <w:rPr>
          <w:rFonts w:ascii="Open Sans" w:eastAsia="Times New Roman" w:hAnsi="Open Sans" w:cs="Open Sans"/>
          <w:kern w:val="0"/>
          <w:sz w:val="24"/>
          <w:szCs w:val="24"/>
          <w:lang w:eastAsia="en-GB"/>
          <w14:ligatures w14:val="none"/>
        </w:rPr>
        <w:t xml:space="preserve"> </w:t>
      </w:r>
      <w:r w:rsidR="00574881" w:rsidRPr="00574881">
        <w:rPr>
          <w:rFonts w:ascii="Open Sans" w:eastAsia="Times New Roman" w:hAnsi="Open Sans" w:cs="Open Sans"/>
          <w:kern w:val="0"/>
          <w:sz w:val="24"/>
          <w:szCs w:val="24"/>
          <w:lang w:eastAsia="en-GB"/>
          <w14:ligatures w14:val="none"/>
        </w:rPr>
        <w:t>Single Sign-On</w:t>
      </w:r>
      <w:r w:rsidRPr="00E24C10">
        <w:rPr>
          <w:rFonts w:ascii="Open Sans" w:eastAsia="Times New Roman" w:hAnsi="Open Sans" w:cs="Open Sans"/>
          <w:kern w:val="0"/>
          <w:sz w:val="24"/>
          <w:szCs w:val="24"/>
          <w:lang w:eastAsia="en-GB"/>
          <w14:ligatures w14:val="none"/>
        </w:rPr>
        <w:t xml:space="preserve"> </w:t>
      </w:r>
      <w:r w:rsidR="00574881">
        <w:rPr>
          <w:rFonts w:ascii="Open Sans" w:eastAsia="Times New Roman" w:hAnsi="Open Sans" w:cs="Open Sans"/>
          <w:kern w:val="0"/>
          <w:sz w:val="24"/>
          <w:szCs w:val="24"/>
          <w:lang w:eastAsia="en-GB"/>
          <w14:ligatures w14:val="none"/>
        </w:rPr>
        <w:t>(</w:t>
      </w:r>
      <w:r w:rsidRPr="00E24C10">
        <w:rPr>
          <w:rFonts w:ascii="Open Sans" w:eastAsia="Times New Roman" w:hAnsi="Open Sans" w:cs="Open Sans"/>
          <w:kern w:val="0"/>
          <w:sz w:val="24"/>
          <w:szCs w:val="24"/>
          <w:lang w:eastAsia="en-GB"/>
          <w14:ligatures w14:val="none"/>
        </w:rPr>
        <w:t>SSO</w:t>
      </w:r>
      <w:r w:rsidR="00574881">
        <w:rPr>
          <w:rFonts w:ascii="Open Sans" w:eastAsia="Times New Roman" w:hAnsi="Open Sans" w:cs="Open Sans"/>
          <w:kern w:val="0"/>
          <w:sz w:val="24"/>
          <w:szCs w:val="24"/>
          <w:lang w:eastAsia="en-GB"/>
          <w14:ligatures w14:val="none"/>
        </w:rPr>
        <w:t>)</w:t>
      </w:r>
      <w:r w:rsidRPr="00E24C10">
        <w:rPr>
          <w:rFonts w:ascii="Open Sans" w:eastAsia="Times New Roman" w:hAnsi="Open Sans" w:cs="Open Sans"/>
          <w:kern w:val="0"/>
          <w:sz w:val="24"/>
          <w:szCs w:val="24"/>
          <w:lang w:eastAsia="en-GB"/>
          <w14:ligatures w14:val="none"/>
        </w:rPr>
        <w:t xml:space="preserve"> with MFA, IP whitelisting and session-timeout controls; emergency “break-glass” access is audited and time-limited.</w:t>
      </w:r>
    </w:p>
    <w:p w14:paraId="3779E7B2" w14:textId="14A63950" w:rsidR="00E24C10" w:rsidRPr="00E24C10" w:rsidRDefault="00E24C10" w:rsidP="00E24C10">
      <w:pPr>
        <w:jc w:val="both"/>
        <w:rPr>
          <w:rFonts w:ascii="Open Sans" w:eastAsia="Times New Roman" w:hAnsi="Open Sans" w:cs="Open Sans"/>
          <w:kern w:val="0"/>
          <w:sz w:val="24"/>
          <w:szCs w:val="24"/>
          <w:lang w:eastAsia="en-GB"/>
          <w14:ligatures w14:val="none"/>
        </w:rPr>
      </w:pPr>
    </w:p>
    <w:p w14:paraId="5ABA5CAC" w14:textId="77777777" w:rsidR="00E24C10" w:rsidRPr="005D026B" w:rsidRDefault="00E24C10" w:rsidP="000B5F08">
      <w:pPr>
        <w:pStyle w:val="Heading2"/>
        <w:rPr>
          <w:rFonts w:ascii="Open Sans" w:eastAsia="Times New Roman" w:hAnsi="Open Sans" w:cs="Open Sans"/>
          <w:b/>
          <w:bCs/>
          <w:sz w:val="24"/>
          <w:szCs w:val="24"/>
          <w:lang w:eastAsia="en-GB"/>
        </w:rPr>
      </w:pPr>
      <w:bookmarkStart w:id="5" w:name="_Toc205048248"/>
      <w:r w:rsidRPr="005D026B">
        <w:rPr>
          <w:rFonts w:ascii="Open Sans" w:eastAsia="Times New Roman" w:hAnsi="Open Sans" w:cs="Open Sans"/>
          <w:b/>
          <w:bCs/>
          <w:sz w:val="24"/>
          <w:szCs w:val="24"/>
          <w:lang w:eastAsia="en-GB"/>
        </w:rPr>
        <w:lastRenderedPageBreak/>
        <w:t>5. Transaction Analysis and Suspicious Activity Detection</w:t>
      </w:r>
      <w:bookmarkEnd w:id="5"/>
    </w:p>
    <w:p w14:paraId="3A82177D"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Our transaction-monitoring framework uses a combination of rule-based and machine-learning techniques to identify unusual or suspicious transactions in real time:</w:t>
      </w:r>
    </w:p>
    <w:p w14:paraId="2BCBEA8E" w14:textId="77777777"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Rules-Based Monitoring</w:t>
      </w:r>
    </w:p>
    <w:p w14:paraId="48F222C0" w14:textId="63283548"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Configurable rules for velocity (e.g. &gt; €750/day top-ups), transaction amounts, geo-anomalies (</w:t>
      </w:r>
      <w:r w:rsidR="00574881" w:rsidRPr="00574881">
        <w:rPr>
          <w:rFonts w:ascii="Open Sans" w:eastAsia="Times New Roman" w:hAnsi="Open Sans" w:cs="Open Sans"/>
          <w:kern w:val="0"/>
          <w:sz w:val="24"/>
          <w:szCs w:val="24"/>
          <w:lang w:eastAsia="en-GB"/>
          <w14:ligatures w14:val="none"/>
        </w:rPr>
        <w:t xml:space="preserve">Financial Action Task Force (FATF) </w:t>
      </w:r>
      <w:r w:rsidRPr="00E24C10">
        <w:rPr>
          <w:rFonts w:ascii="Open Sans" w:eastAsia="Times New Roman" w:hAnsi="Open Sans" w:cs="Open Sans"/>
          <w:kern w:val="0"/>
          <w:sz w:val="24"/>
          <w:szCs w:val="24"/>
          <w:lang w:eastAsia="en-GB"/>
          <w14:ligatures w14:val="none"/>
        </w:rPr>
        <w:t xml:space="preserve">high-risk country lists), rapid FX swaps, multiple failed </w:t>
      </w:r>
      <w:proofErr w:type="spellStart"/>
      <w:r w:rsidRPr="00E24C10">
        <w:rPr>
          <w:rFonts w:ascii="Open Sans" w:eastAsia="Times New Roman" w:hAnsi="Open Sans" w:cs="Open Sans"/>
          <w:kern w:val="0"/>
          <w:sz w:val="24"/>
          <w:szCs w:val="24"/>
          <w:lang w:eastAsia="en-GB"/>
          <w14:ligatures w14:val="none"/>
        </w:rPr>
        <w:t>auths</w:t>
      </w:r>
      <w:proofErr w:type="spellEnd"/>
      <w:r w:rsidRPr="00E24C10">
        <w:rPr>
          <w:rFonts w:ascii="Open Sans" w:eastAsia="Times New Roman" w:hAnsi="Open Sans" w:cs="Open Sans"/>
          <w:kern w:val="0"/>
          <w:sz w:val="24"/>
          <w:szCs w:val="24"/>
          <w:lang w:eastAsia="en-GB"/>
          <w14:ligatures w14:val="none"/>
        </w:rPr>
        <w:t xml:space="preserve"> (EBA Guideline 14) (</w:t>
      </w:r>
      <w:hyperlink r:id="rId22" w:tooltip="Guidelines on security measures for operational and security risks ..." w:history="1">
        <w:r w:rsidRPr="00E24C10">
          <w:rPr>
            <w:rFonts w:ascii="Open Sans" w:eastAsia="Times New Roman" w:hAnsi="Open Sans" w:cs="Open Sans"/>
            <w:color w:val="0000FF"/>
            <w:kern w:val="0"/>
            <w:sz w:val="24"/>
            <w:szCs w:val="24"/>
            <w:u w:val="single"/>
            <w:lang w:eastAsia="en-GB"/>
            <w14:ligatures w14:val="none"/>
          </w:rPr>
          <w:t>eba.europa.eu</w:t>
        </w:r>
      </w:hyperlink>
      <w:r w:rsidRPr="00E24C10">
        <w:rPr>
          <w:rFonts w:ascii="Open Sans" w:eastAsia="Times New Roman" w:hAnsi="Open Sans" w:cs="Open Sans"/>
          <w:kern w:val="0"/>
          <w:sz w:val="24"/>
          <w:szCs w:val="24"/>
          <w:lang w:eastAsia="en-GB"/>
          <w14:ligatures w14:val="none"/>
        </w:rPr>
        <w:t>).</w:t>
      </w:r>
    </w:p>
    <w:p w14:paraId="0C2BFF70" w14:textId="1E27EF19"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User-Behaviour Analytics (UBA)</w:t>
      </w:r>
    </w:p>
    <w:p w14:paraId="0EF31D71" w14:textId="5DB8C68F"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Statistical baselining of individual customer behaviour to detect outliers (e.g. sudden spike in remittance volumes) and adapt thresholds dynamically.</w:t>
      </w:r>
    </w:p>
    <w:p w14:paraId="1FBD42E8" w14:textId="77777777" w:rsidR="00E24C10" w:rsidRPr="005D026B" w:rsidRDefault="00E24C10" w:rsidP="00E24C10">
      <w:pPr>
        <w:jc w:val="both"/>
        <w:rPr>
          <w:rFonts w:ascii="Open Sans" w:eastAsia="Times New Roman" w:hAnsi="Open Sans" w:cs="Open Sans"/>
          <w:kern w:val="0"/>
          <w:sz w:val="24"/>
          <w:szCs w:val="24"/>
          <w:lang w:eastAsia="en-GB"/>
          <w14:ligatures w14:val="none"/>
        </w:rPr>
      </w:pPr>
      <w:r w:rsidRPr="005D026B">
        <w:rPr>
          <w:rFonts w:ascii="Open Sans" w:eastAsia="Times New Roman" w:hAnsi="Open Sans" w:cs="Open Sans"/>
          <w:kern w:val="0"/>
          <w:sz w:val="24"/>
          <w:szCs w:val="24"/>
          <w:lang w:eastAsia="en-GB"/>
          <w14:ligatures w14:val="none"/>
        </w:rPr>
        <w:t>Alert Triage &amp; Case Management</w:t>
      </w:r>
    </w:p>
    <w:p w14:paraId="3ABC835E"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Alerts are scored and triaged by severity; high-risk alerts escalate to the MLRO within 2 hrs for EDD and SAR consideration per POCA/TF Act (</w:t>
      </w:r>
      <w:hyperlink r:id="rId23" w:tooltip="[PDF] Payment Services and Electronic Money – Our Approach" w:history="1">
        <w:r w:rsidRPr="00E24C10">
          <w:rPr>
            <w:rFonts w:ascii="Open Sans" w:eastAsia="Times New Roman" w:hAnsi="Open Sans" w:cs="Open Sans"/>
            <w:color w:val="0000FF"/>
            <w:kern w:val="0"/>
            <w:sz w:val="24"/>
            <w:szCs w:val="24"/>
            <w:u w:val="single"/>
            <w:lang w:eastAsia="en-GB"/>
            <w14:ligatures w14:val="none"/>
          </w:rPr>
          <w:t>service.betterregulation.com</w:t>
        </w:r>
      </w:hyperlink>
      <w:r w:rsidRPr="00E24C10">
        <w:rPr>
          <w:rFonts w:ascii="Open Sans" w:eastAsia="Times New Roman" w:hAnsi="Open Sans" w:cs="Open Sans"/>
          <w:kern w:val="0"/>
          <w:sz w:val="24"/>
          <w:szCs w:val="24"/>
          <w:lang w:eastAsia="en-GB"/>
          <w14:ligatures w14:val="none"/>
        </w:rPr>
        <w:t>).</w:t>
      </w:r>
    </w:p>
    <w:p w14:paraId="6D0872C1"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Detailed EDD questionnaires and investigation templates ensure consistent evidence gathering and regulatory compliance.</w:t>
      </w:r>
    </w:p>
    <w:p w14:paraId="78274C7F" w14:textId="77777777" w:rsidR="00E24C10" w:rsidRPr="00C86210" w:rsidRDefault="00E24C10" w:rsidP="00E24C10">
      <w:pPr>
        <w:jc w:val="both"/>
        <w:rPr>
          <w:rFonts w:ascii="Open Sans" w:eastAsia="Times New Roman" w:hAnsi="Open Sans" w:cs="Open Sans"/>
          <w:b/>
          <w:bCs/>
          <w:i/>
          <w:iCs/>
          <w:kern w:val="0"/>
          <w:sz w:val="24"/>
          <w:szCs w:val="24"/>
          <w:lang w:eastAsia="en-GB"/>
          <w14:ligatures w14:val="none"/>
        </w:rPr>
      </w:pPr>
      <w:r w:rsidRPr="00C86210">
        <w:rPr>
          <w:rFonts w:ascii="Open Sans" w:eastAsia="Times New Roman" w:hAnsi="Open Sans" w:cs="Open Sans"/>
          <w:b/>
          <w:bCs/>
          <w:i/>
          <w:iCs/>
          <w:kern w:val="0"/>
          <w:sz w:val="24"/>
          <w:szCs w:val="24"/>
          <w:lang w:eastAsia="en-GB"/>
          <w14:ligatures w14:val="none"/>
        </w:rPr>
        <w:t>Continuous Tuning &amp; Reporting</w:t>
      </w:r>
    </w:p>
    <w:p w14:paraId="16AEA40B"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Quarterly performance reviews of detection rules (false-positive/true-positive rates) and adjustments to optimize effectiveness.</w:t>
      </w:r>
    </w:p>
    <w:p w14:paraId="44D7EFDF" w14:textId="77777777" w:rsidR="00E24C10" w:rsidRPr="00E24C10" w:rsidRDefault="00E24C10" w:rsidP="00E24C10">
      <w:pPr>
        <w:jc w:val="both"/>
        <w:rPr>
          <w:rFonts w:ascii="Open Sans" w:eastAsia="Times New Roman" w:hAnsi="Open Sans" w:cs="Open Sans"/>
          <w:kern w:val="0"/>
          <w:sz w:val="24"/>
          <w:szCs w:val="24"/>
          <w:lang w:eastAsia="en-GB"/>
          <w14:ligatures w14:val="none"/>
        </w:rPr>
      </w:pPr>
      <w:r w:rsidRPr="00E24C10">
        <w:rPr>
          <w:rFonts w:ascii="Open Sans" w:eastAsia="Times New Roman" w:hAnsi="Open Sans" w:cs="Open Sans"/>
          <w:kern w:val="0"/>
          <w:sz w:val="24"/>
          <w:szCs w:val="24"/>
          <w:lang w:eastAsia="en-GB"/>
          <w14:ligatures w14:val="none"/>
        </w:rPr>
        <w:t>Monthly KRI dashboards: alert volumes, SAR conversion rates, mean time to close; reviewed by the Compliance Committee.</w:t>
      </w:r>
    </w:p>
    <w:p w14:paraId="2B1A087E" w14:textId="08583B08" w:rsidR="00E24C10" w:rsidRPr="00E24C10" w:rsidRDefault="00E24C10" w:rsidP="00E24C10">
      <w:pPr>
        <w:jc w:val="both"/>
        <w:rPr>
          <w:rFonts w:ascii="Open Sans" w:eastAsia="Times New Roman" w:hAnsi="Open Sans" w:cs="Open Sans"/>
          <w:kern w:val="0"/>
          <w:sz w:val="24"/>
          <w:szCs w:val="24"/>
          <w:lang w:eastAsia="en-GB"/>
          <w14:ligatures w14:val="none"/>
        </w:rPr>
      </w:pPr>
    </w:p>
    <w:sectPr w:rsidR="00E24C10" w:rsidRPr="00E24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0164"/>
    <w:multiLevelType w:val="multilevel"/>
    <w:tmpl w:val="003C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B55C4"/>
    <w:multiLevelType w:val="multilevel"/>
    <w:tmpl w:val="2E32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06E24"/>
    <w:multiLevelType w:val="multilevel"/>
    <w:tmpl w:val="68F0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91DAC"/>
    <w:multiLevelType w:val="multilevel"/>
    <w:tmpl w:val="141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829BC"/>
    <w:multiLevelType w:val="multilevel"/>
    <w:tmpl w:val="8CD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C2C24"/>
    <w:multiLevelType w:val="multilevel"/>
    <w:tmpl w:val="55F29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61880"/>
    <w:multiLevelType w:val="multilevel"/>
    <w:tmpl w:val="363CF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15645"/>
    <w:multiLevelType w:val="multilevel"/>
    <w:tmpl w:val="C52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22450"/>
    <w:multiLevelType w:val="multilevel"/>
    <w:tmpl w:val="B3D0A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F4E7C"/>
    <w:multiLevelType w:val="multilevel"/>
    <w:tmpl w:val="40545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803000">
    <w:abstractNumId w:val="7"/>
  </w:num>
  <w:num w:numId="2" w16cid:durableId="630132328">
    <w:abstractNumId w:val="8"/>
  </w:num>
  <w:num w:numId="3" w16cid:durableId="333922212">
    <w:abstractNumId w:val="9"/>
  </w:num>
  <w:num w:numId="4" w16cid:durableId="1243947364">
    <w:abstractNumId w:val="5"/>
  </w:num>
  <w:num w:numId="5" w16cid:durableId="11535663">
    <w:abstractNumId w:val="6"/>
  </w:num>
  <w:num w:numId="6" w16cid:durableId="1180312338">
    <w:abstractNumId w:val="3"/>
  </w:num>
  <w:num w:numId="7" w16cid:durableId="232399173">
    <w:abstractNumId w:val="4"/>
  </w:num>
  <w:num w:numId="8" w16cid:durableId="1367441299">
    <w:abstractNumId w:val="2"/>
  </w:num>
  <w:num w:numId="9" w16cid:durableId="556205813">
    <w:abstractNumId w:val="0"/>
  </w:num>
  <w:num w:numId="10" w16cid:durableId="1787773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10"/>
    <w:rsid w:val="000B5F08"/>
    <w:rsid w:val="00193947"/>
    <w:rsid w:val="001E6F60"/>
    <w:rsid w:val="0025727A"/>
    <w:rsid w:val="00372705"/>
    <w:rsid w:val="003D5CD0"/>
    <w:rsid w:val="00572695"/>
    <w:rsid w:val="00574881"/>
    <w:rsid w:val="005D026B"/>
    <w:rsid w:val="00687C39"/>
    <w:rsid w:val="00953E97"/>
    <w:rsid w:val="009F4A8E"/>
    <w:rsid w:val="00C86210"/>
    <w:rsid w:val="00D15529"/>
    <w:rsid w:val="00D904A2"/>
    <w:rsid w:val="00DB0AF2"/>
    <w:rsid w:val="00E24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C1A3"/>
  <w15:chartTrackingRefBased/>
  <w15:docId w15:val="{7C0391EC-6326-43D7-A2E2-50D380A92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4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4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C10"/>
    <w:rPr>
      <w:rFonts w:eastAsiaTheme="majorEastAsia" w:cstheme="majorBidi"/>
      <w:color w:val="272727" w:themeColor="text1" w:themeTint="D8"/>
    </w:rPr>
  </w:style>
  <w:style w:type="paragraph" w:styleId="Title">
    <w:name w:val="Title"/>
    <w:basedOn w:val="Normal"/>
    <w:next w:val="Normal"/>
    <w:link w:val="TitleChar"/>
    <w:uiPriority w:val="10"/>
    <w:qFormat/>
    <w:rsid w:val="00E24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C10"/>
    <w:pPr>
      <w:spacing w:before="160"/>
      <w:jc w:val="center"/>
    </w:pPr>
    <w:rPr>
      <w:i/>
      <w:iCs/>
      <w:color w:val="404040" w:themeColor="text1" w:themeTint="BF"/>
    </w:rPr>
  </w:style>
  <w:style w:type="character" w:customStyle="1" w:styleId="QuoteChar">
    <w:name w:val="Quote Char"/>
    <w:basedOn w:val="DefaultParagraphFont"/>
    <w:link w:val="Quote"/>
    <w:uiPriority w:val="29"/>
    <w:rsid w:val="00E24C10"/>
    <w:rPr>
      <w:i/>
      <w:iCs/>
      <w:color w:val="404040" w:themeColor="text1" w:themeTint="BF"/>
    </w:rPr>
  </w:style>
  <w:style w:type="paragraph" w:styleId="ListParagraph">
    <w:name w:val="List Paragraph"/>
    <w:basedOn w:val="Normal"/>
    <w:uiPriority w:val="34"/>
    <w:qFormat/>
    <w:rsid w:val="00E24C10"/>
    <w:pPr>
      <w:ind w:left="720"/>
      <w:contextualSpacing/>
    </w:pPr>
  </w:style>
  <w:style w:type="character" w:styleId="IntenseEmphasis">
    <w:name w:val="Intense Emphasis"/>
    <w:basedOn w:val="DefaultParagraphFont"/>
    <w:uiPriority w:val="21"/>
    <w:qFormat/>
    <w:rsid w:val="00E24C10"/>
    <w:rPr>
      <w:i/>
      <w:iCs/>
      <w:color w:val="0F4761" w:themeColor="accent1" w:themeShade="BF"/>
    </w:rPr>
  </w:style>
  <w:style w:type="paragraph" w:styleId="IntenseQuote">
    <w:name w:val="Intense Quote"/>
    <w:basedOn w:val="Normal"/>
    <w:next w:val="Normal"/>
    <w:link w:val="IntenseQuoteChar"/>
    <w:uiPriority w:val="30"/>
    <w:qFormat/>
    <w:rsid w:val="00E24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C10"/>
    <w:rPr>
      <w:i/>
      <w:iCs/>
      <w:color w:val="0F4761" w:themeColor="accent1" w:themeShade="BF"/>
    </w:rPr>
  </w:style>
  <w:style w:type="character" w:styleId="IntenseReference">
    <w:name w:val="Intense Reference"/>
    <w:basedOn w:val="DefaultParagraphFont"/>
    <w:uiPriority w:val="32"/>
    <w:qFormat/>
    <w:rsid w:val="00E24C10"/>
    <w:rPr>
      <w:b/>
      <w:bCs/>
      <w:smallCaps/>
      <w:color w:val="0F4761" w:themeColor="accent1" w:themeShade="BF"/>
      <w:spacing w:val="5"/>
    </w:rPr>
  </w:style>
  <w:style w:type="table" w:styleId="GridTable5Dark-Accent1">
    <w:name w:val="Grid Table 5 Dark Accent 1"/>
    <w:basedOn w:val="TableNormal"/>
    <w:uiPriority w:val="50"/>
    <w:rsid w:val="00E24C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0B5F08"/>
    <w:pPr>
      <w:spacing w:before="120" w:after="120"/>
    </w:pPr>
    <w:rPr>
      <w:b/>
      <w:bCs/>
      <w:caps/>
      <w:sz w:val="20"/>
      <w:szCs w:val="20"/>
    </w:rPr>
  </w:style>
  <w:style w:type="paragraph" w:styleId="TOC2">
    <w:name w:val="toc 2"/>
    <w:basedOn w:val="Normal"/>
    <w:next w:val="Normal"/>
    <w:autoRedefine/>
    <w:uiPriority w:val="39"/>
    <w:unhideWhenUsed/>
    <w:rsid w:val="000B5F08"/>
    <w:pPr>
      <w:spacing w:after="0"/>
      <w:ind w:left="220"/>
    </w:pPr>
    <w:rPr>
      <w:smallCaps/>
      <w:sz w:val="20"/>
      <w:szCs w:val="20"/>
    </w:rPr>
  </w:style>
  <w:style w:type="paragraph" w:styleId="TOC3">
    <w:name w:val="toc 3"/>
    <w:basedOn w:val="Normal"/>
    <w:next w:val="Normal"/>
    <w:autoRedefine/>
    <w:uiPriority w:val="39"/>
    <w:unhideWhenUsed/>
    <w:rsid w:val="000B5F08"/>
    <w:pPr>
      <w:spacing w:after="0"/>
      <w:ind w:left="440"/>
    </w:pPr>
    <w:rPr>
      <w:i/>
      <w:iCs/>
      <w:sz w:val="20"/>
      <w:szCs w:val="20"/>
    </w:rPr>
  </w:style>
  <w:style w:type="paragraph" w:styleId="TOC4">
    <w:name w:val="toc 4"/>
    <w:basedOn w:val="Normal"/>
    <w:next w:val="Normal"/>
    <w:autoRedefine/>
    <w:uiPriority w:val="39"/>
    <w:unhideWhenUsed/>
    <w:rsid w:val="000B5F08"/>
    <w:pPr>
      <w:spacing w:after="0"/>
      <w:ind w:left="660"/>
    </w:pPr>
    <w:rPr>
      <w:sz w:val="18"/>
      <w:szCs w:val="18"/>
    </w:rPr>
  </w:style>
  <w:style w:type="paragraph" w:styleId="TOC5">
    <w:name w:val="toc 5"/>
    <w:basedOn w:val="Normal"/>
    <w:next w:val="Normal"/>
    <w:autoRedefine/>
    <w:uiPriority w:val="39"/>
    <w:unhideWhenUsed/>
    <w:rsid w:val="000B5F08"/>
    <w:pPr>
      <w:spacing w:after="0"/>
      <w:ind w:left="880"/>
    </w:pPr>
    <w:rPr>
      <w:sz w:val="18"/>
      <w:szCs w:val="18"/>
    </w:rPr>
  </w:style>
  <w:style w:type="paragraph" w:styleId="TOC6">
    <w:name w:val="toc 6"/>
    <w:basedOn w:val="Normal"/>
    <w:next w:val="Normal"/>
    <w:autoRedefine/>
    <w:uiPriority w:val="39"/>
    <w:unhideWhenUsed/>
    <w:rsid w:val="000B5F08"/>
    <w:pPr>
      <w:spacing w:after="0"/>
      <w:ind w:left="1100"/>
    </w:pPr>
    <w:rPr>
      <w:sz w:val="18"/>
      <w:szCs w:val="18"/>
    </w:rPr>
  </w:style>
  <w:style w:type="paragraph" w:styleId="TOC7">
    <w:name w:val="toc 7"/>
    <w:basedOn w:val="Normal"/>
    <w:next w:val="Normal"/>
    <w:autoRedefine/>
    <w:uiPriority w:val="39"/>
    <w:unhideWhenUsed/>
    <w:rsid w:val="000B5F08"/>
    <w:pPr>
      <w:spacing w:after="0"/>
      <w:ind w:left="1320"/>
    </w:pPr>
    <w:rPr>
      <w:sz w:val="18"/>
      <w:szCs w:val="18"/>
    </w:rPr>
  </w:style>
  <w:style w:type="paragraph" w:styleId="TOC8">
    <w:name w:val="toc 8"/>
    <w:basedOn w:val="Normal"/>
    <w:next w:val="Normal"/>
    <w:autoRedefine/>
    <w:uiPriority w:val="39"/>
    <w:unhideWhenUsed/>
    <w:rsid w:val="000B5F08"/>
    <w:pPr>
      <w:spacing w:after="0"/>
      <w:ind w:left="1540"/>
    </w:pPr>
    <w:rPr>
      <w:sz w:val="18"/>
      <w:szCs w:val="18"/>
    </w:rPr>
  </w:style>
  <w:style w:type="paragraph" w:styleId="TOC9">
    <w:name w:val="toc 9"/>
    <w:basedOn w:val="Normal"/>
    <w:next w:val="Normal"/>
    <w:autoRedefine/>
    <w:uiPriority w:val="39"/>
    <w:unhideWhenUsed/>
    <w:rsid w:val="000B5F08"/>
    <w:pPr>
      <w:spacing w:after="0"/>
      <w:ind w:left="1760"/>
    </w:pPr>
    <w:rPr>
      <w:sz w:val="18"/>
      <w:szCs w:val="18"/>
    </w:rPr>
  </w:style>
  <w:style w:type="character" w:styleId="Hyperlink">
    <w:name w:val="Hyperlink"/>
    <w:basedOn w:val="DefaultParagraphFont"/>
    <w:uiPriority w:val="99"/>
    <w:unhideWhenUsed/>
    <w:rsid w:val="00953E9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0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borneclarke.com/insights/new-fca-proposals-on-operational-and-security-risk-management-by-psps?utm_source=chatgpt.com" TargetMode="External"/><Relationship Id="rId13" Type="http://schemas.openxmlformats.org/officeDocument/2006/relationships/hyperlink" Target="https://www.eba.europa.eu/publications-and-media/press-releases/eba-publishes-final-guidelines-security-measures-under-psd2?utm_source=chatgpt.com" TargetMode="External"/><Relationship Id="rId18" Type="http://schemas.openxmlformats.org/officeDocument/2006/relationships/hyperlink" Target="https://www.twobirds.com/en/insights/2024/uk/fca-launches-consultation-on-new-safeguarding-requirements?utm_source=chatgpt.com" TargetMode="External"/><Relationship Id="rId3" Type="http://schemas.openxmlformats.org/officeDocument/2006/relationships/settings" Target="settings.xml"/><Relationship Id="rId21" Type="http://schemas.openxmlformats.org/officeDocument/2006/relationships/hyperlink" Target="https://service.betterregulation.com/sites/default/files/upload/2022-03/fca-approach-payment-services-electronic-money-2017.pdf?utm_source=chatgpt.com" TargetMode="External"/><Relationship Id="rId7" Type="http://schemas.openxmlformats.org/officeDocument/2006/relationships/hyperlink" Target="https://www.eba.europa.eu/guidelines-security-measures-operational-and-security-risks-under-psd2?utm_source=chatgpt.com" TargetMode="External"/><Relationship Id="rId12" Type="http://schemas.openxmlformats.org/officeDocument/2006/relationships/hyperlink" Target="https://service.betterregulation.com/sites/default/files/upload/2022-03/fca-approach-payment-services-electronic-money-2017.pdf?utm_source=chatgpt.com" TargetMode="External"/><Relationship Id="rId17" Type="http://schemas.openxmlformats.org/officeDocument/2006/relationships/hyperlink" Target="https://service.betterregulation.com/sites/default/files/upload/2022-03/fca-approach-payment-services-electronic-money-2017.pdf?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ca.org.uk/news/statements/eba-guidelines-operational-and-security-risks-under-psd2?utm_source=chatgpt.com" TargetMode="External"/><Relationship Id="rId20" Type="http://schemas.openxmlformats.org/officeDocument/2006/relationships/hyperlink" Target="https://www.eba.europa.eu/publications-and-media/press-releases/eba-publishes-final-guidelines-security-measures-under-psd2?utm_source=chatgpt.com" TargetMode="External"/><Relationship Id="rId1" Type="http://schemas.openxmlformats.org/officeDocument/2006/relationships/numbering" Target="numbering.xml"/><Relationship Id="rId6" Type="http://schemas.openxmlformats.org/officeDocument/2006/relationships/hyperlink" Target="https://service.betterregulation.com/sites/default/files/upload/2022-03/fca-approach-payment-services-electronic-money-2017.pdf?utm_source=chatgpt.com" TargetMode="External"/><Relationship Id="rId11" Type="http://schemas.openxmlformats.org/officeDocument/2006/relationships/hyperlink" Target="https://www.fca.org.uk/publication/finalised-guidance/fca-approach-payment-services-electronic-money-2017.pdf?utm_source=chatgpt.com"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www.fi.ee/sites/default/files/2018-08/pp_nr_10_Guidelines_on_the_security_measures_under_PSD2_EBA-GL-2017-17_EN.pdf?utm_source=chatgpt.com" TargetMode="External"/><Relationship Id="rId23" Type="http://schemas.openxmlformats.org/officeDocument/2006/relationships/hyperlink" Target="https://service.betterregulation.com/sites/default/files/upload/2022-03/fca-approach-payment-services-electronic-money-2017.pdf?utm_source=chatgpt.com" TargetMode="External"/><Relationship Id="rId10" Type="http://schemas.openxmlformats.org/officeDocument/2006/relationships/hyperlink" Target="https://service.betterregulation.com/sites/default/files/upload/2022-03/fca-approach-payment-services-electronic-money-2017.pdf?utm_source=chatgpt.com" TargetMode="External"/><Relationship Id="rId19" Type="http://schemas.openxmlformats.org/officeDocument/2006/relationships/hyperlink" Target="https://service.betterregulation.com/sites/default/files/upload/2022-03/fca-approach-payment-services-electronic-money-2017.pdf?utm_source=chatgpt.com" TargetMode="External"/><Relationship Id="rId4" Type="http://schemas.openxmlformats.org/officeDocument/2006/relationships/webSettings" Target="webSettings.xml"/><Relationship Id="rId9" Type="http://schemas.openxmlformats.org/officeDocument/2006/relationships/hyperlink" Target="https://www.osborneclarke.com/insights/new-fca-proposals-on-operational-and-security-risk-management-by-psps?utm_source=chatgpt.com" TargetMode="External"/><Relationship Id="rId14" Type="http://schemas.openxmlformats.org/officeDocument/2006/relationships/hyperlink" Target="https://service.betterregulation.com/sites/default/files/upload/2022-03/fca-approach-payment-services-electronic-money-2017.pdf?utm_source=chatgpt.com" TargetMode="External"/><Relationship Id="rId22" Type="http://schemas.openxmlformats.org/officeDocument/2006/relationships/hyperlink" Target="https://www.eba.europa.eu/guidelines-security-measures-operational-and-security-risks-under-psd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2858</Words>
  <Characters>16293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FManu (FYM)</dc:creator>
  <cp:keywords/>
  <dc:description/>
  <cp:lastModifiedBy>FManu (FYM)</cp:lastModifiedBy>
  <cp:revision>6</cp:revision>
  <cp:lastPrinted>2025-08-07T09:37:00Z</cp:lastPrinted>
  <dcterms:created xsi:type="dcterms:W3CDTF">2025-07-08T14:20:00Z</dcterms:created>
  <dcterms:modified xsi:type="dcterms:W3CDTF">2025-08-07T09:37:00Z</dcterms:modified>
</cp:coreProperties>
</file>