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Project Reflection</w:t>
      </w:r>
    </w:p>
    <w:p>
      <w:pPr>
        <w:pBdr>
          <w:bottom w:val="single" w:color="1F4E79" w:sz="8" w:space="8"/>
        </w:pBdr>
        <w:spacing w:after="360"/>
      </w:pPr>
      <w:r>
        <w:rPr>
          <w:color w:val="595959"/>
          <w:sz w:val="26"/>
          <w:szCs w:val="26"/>
        </w:rPr>
        <w:t xml:space="preserve">Production-Grade Customer Support AI Agent</w:t>
      </w:r>
    </w:p>
    <w:p>
      <w:pPr>
        <w:pStyle w:val="Heading1"/>
        <w:spacing w:after="200" w:before="320"/>
      </w:pPr>
      <w:r>
        <w:rPr>
          <w:b/>
          <w:bCs/>
          <w:color w:val="1F4E79"/>
          <w:sz w:val="28"/>
          <w:szCs w:val="28"/>
        </w:rPr>
        <w:t xml:space="preserve">1. Key Design Decision</w:t>
      </w:r>
    </w:p>
    <w:p>
      <w:pPr>
        <w:spacing w:after="180" w:line="300"/>
        <w:jc w:val="both"/>
      </w:pPr>
      <w:r>
        <w:t xml:space="preserve">A pivotal architectural decision was implementing the </w:t>
      </w:r>
      <w:r>
        <w:rPr>
          <w:rFonts w:ascii="Consolas" w:cs="Consolas" w:eastAsia="Consolas" w:hAnsi="Consolas"/>
          <w:sz w:val="20"/>
          <w:szCs w:val="20"/>
          <w:shd w:fill="F2F2F2"/>
        </w:rPr>
        <w:t xml:space="preserve">MemoryHook</w:t>
      </w:r>
      <w:r>
        <w:t xml:space="preserve"> pattern using the Strands </w:t>
      </w:r>
      <w:r>
        <w:rPr>
          <w:rFonts w:ascii="Consolas" w:cs="Consolas" w:eastAsia="Consolas" w:hAnsi="Consolas"/>
          <w:sz w:val="20"/>
          <w:szCs w:val="20"/>
          <w:shd w:fill="F2F2F2"/>
        </w:rPr>
        <w:t xml:space="preserve">HookProvider</w:t>
      </w:r>
      <w:r>
        <w:t xml:space="preserve"> lifecycle rather than hardcoding memory lookups into the prompt or invocation body. By attaching callbacks to </w:t>
      </w:r>
      <w:r>
        <w:rPr>
          <w:rFonts w:ascii="Consolas" w:cs="Consolas" w:eastAsia="Consolas" w:hAnsi="Consolas"/>
          <w:sz w:val="20"/>
          <w:szCs w:val="20"/>
          <w:shd w:fill="F2F2F2"/>
        </w:rPr>
        <w:t xml:space="preserve">MessageAddedEvent</w:t>
      </w:r>
      <w:r>
        <w:t xml:space="preserve"> and </w:t>
      </w:r>
      <w:r>
        <w:rPr>
          <w:rFonts w:ascii="Consolas" w:cs="Consolas" w:eastAsia="Consolas" w:hAnsi="Consolas"/>
          <w:sz w:val="20"/>
          <w:szCs w:val="20"/>
          <w:shd w:fill="F2F2F2"/>
        </w:rPr>
        <w:t xml:space="preserve">AfterInvocationEvent</w:t>
      </w:r>
      <w:r>
        <w:t xml:space="preserve">, the agent dynamically retrieves customer facts and preferences and prepends them as structured </w:t>
      </w:r>
      <w:r>
        <w:rPr>
          <w:rFonts w:ascii="Consolas" w:cs="Consolas" w:eastAsia="Consolas" w:hAnsi="Consolas"/>
          <w:sz w:val="20"/>
          <w:szCs w:val="20"/>
          <w:shd w:fill="F2F2F2"/>
        </w:rPr>
        <w:t xml:space="preserve">Customer Context:</w:t>
      </w:r>
      <w:r>
        <w:t xml:space="preserve"> before invocation, and automatically persists conversation turns to Bedrock AgentCore Memory after invocation. This decouples persistent context management from the core business logic, keeping message histories clean and preventing token bloat while guaranteeing cross-session recall.</w:t>
      </w:r>
    </w:p>
    <w:p>
      <w:pPr>
        <w:pStyle w:val="Heading1"/>
        <w:spacing w:after="200" w:before="320"/>
      </w:pPr>
      <w:r>
        <w:rPr>
          <w:b/>
          <w:bCs/>
          <w:color w:val="1F4E79"/>
          <w:sz w:val="28"/>
          <w:szCs w:val="28"/>
        </w:rPr>
        <w:t xml:space="preserve">2. Challenge Encountered and Solution</w:t>
      </w:r>
    </w:p>
    <w:p>
      <w:pPr>
        <w:spacing w:after="180" w:line="300"/>
        <w:jc w:val="both"/>
      </w:pPr>
      <w:r>
        <w:t xml:space="preserve">A significant engineering challenge occurred during cross-platform deployment of the headless browser. Developing on Windows while deploying to an AWS Linux ARM64 container (</w:t>
      </w:r>
      <w:r>
        <w:rPr>
          <w:rFonts w:ascii="Consolas" w:cs="Consolas" w:eastAsia="Consolas" w:hAnsi="Consolas"/>
          <w:sz w:val="20"/>
          <w:szCs w:val="20"/>
          <w:shd w:fill="F2F2F2"/>
        </w:rPr>
        <w:t xml:space="preserve">platform: linux/arm64</w:t>
      </w:r>
      <w:r>
        <w:t xml:space="preserve">) created two issues: first, platform-specific wheels (</w:t>
      </w:r>
      <w:r>
        <w:rPr>
          <w:rFonts w:ascii="Consolas" w:cs="Consolas" w:eastAsia="Consolas" w:hAnsi="Consolas"/>
          <w:sz w:val="20"/>
          <w:szCs w:val="20"/>
          <w:shd w:fill="F2F2F2"/>
        </w:rPr>
        <w:t xml:space="preserve">pywin32</w:t>
      </w:r>
      <w:r>
        <w:t xml:space="preserve">) broke packaging, resolved by isolating dependencies in </w:t>
      </w:r>
      <w:r>
        <w:rPr>
          <w:rFonts w:ascii="Consolas" w:cs="Consolas" w:eastAsia="Consolas" w:hAnsi="Consolas"/>
          <w:sz w:val="20"/>
          <w:szCs w:val="20"/>
          <w:shd w:fill="F2F2F2"/>
        </w:rPr>
        <w:t xml:space="preserve">requirements.txt</w:t>
      </w:r>
      <w:r>
        <w:t xml:space="preserve">. Second, Windows zip packaging stripped execute permissions (</w:t>
      </w:r>
      <w:r>
        <w:rPr>
          <w:rFonts w:ascii="Consolas" w:cs="Consolas" w:eastAsia="Consolas" w:hAnsi="Consolas"/>
          <w:sz w:val="20"/>
          <w:szCs w:val="20"/>
          <w:shd w:fill="F2F2F2"/>
        </w:rPr>
        <w:t xml:space="preserve">+x</w:t>
      </w:r>
      <w:r>
        <w:t xml:space="preserve">) from Playwright’s Linux Node.js binary (</w:t>
      </w:r>
      <w:r>
        <w:rPr>
          <w:rFonts w:ascii="Consolas" w:cs="Consolas" w:eastAsia="Consolas" w:hAnsi="Consolas"/>
          <w:sz w:val="20"/>
          <w:szCs w:val="20"/>
          <w:shd w:fill="F2F2F2"/>
        </w:rPr>
        <w:t xml:space="preserve">/var/task/playwright/driver/node</w:t>
      </w:r>
      <w:r>
        <w:t xml:space="preserve">), causing </w:t>
      </w:r>
      <w:r>
        <w:rPr>
          <w:rFonts w:ascii="Consolas" w:cs="Consolas" w:eastAsia="Consolas" w:hAnsi="Consolas"/>
          <w:sz w:val="20"/>
          <w:szCs w:val="20"/>
          <w:shd w:fill="F2F2F2"/>
        </w:rPr>
        <w:t xml:space="preserve">Permission denied</w:t>
      </w:r>
      <w:r>
        <w:t xml:space="preserve"> errors because </w:t>
      </w:r>
      <w:r>
        <w:rPr>
          <w:rFonts w:ascii="Consolas" w:cs="Consolas" w:eastAsia="Consolas" w:hAnsi="Consolas"/>
          <w:sz w:val="20"/>
          <w:szCs w:val="20"/>
          <w:shd w:fill="F2F2F2"/>
        </w:rPr>
        <w:t xml:space="preserve">/var/task</w:t>
      </w:r>
      <w:r>
        <w:t xml:space="preserve"> is mounted read-only in AWS runtime containers. I resolved this by programmatically copying the driver binary to the writable </w:t>
      </w:r>
      <w:r>
        <w:rPr>
          <w:rFonts w:ascii="Consolas" w:cs="Consolas" w:eastAsia="Consolas" w:hAnsi="Consolas"/>
          <w:sz w:val="20"/>
          <w:szCs w:val="20"/>
          <w:shd w:fill="F2F2F2"/>
        </w:rPr>
        <w:t xml:space="preserve">/tmp</w:t>
      </w:r>
      <w:r>
        <w:t xml:space="preserve"> filesystem on startup, setting </w:t>
      </w:r>
      <w:r>
        <w:rPr>
          <w:rFonts w:ascii="Consolas" w:cs="Consolas" w:eastAsia="Consolas" w:hAnsi="Consolas"/>
          <w:sz w:val="20"/>
          <w:szCs w:val="20"/>
          <w:shd w:fill="F2F2F2"/>
        </w:rPr>
        <w:t xml:space="preserve">chmod 0o777</w:t>
      </w:r>
      <w:r>
        <w:t xml:space="preserve">, and setting </w:t>
      </w:r>
      <w:r>
        <w:rPr>
          <w:rFonts w:ascii="Consolas" w:cs="Consolas" w:eastAsia="Consolas" w:hAnsi="Consolas"/>
          <w:sz w:val="20"/>
          <w:szCs w:val="20"/>
          <w:shd w:fill="F2F2F2"/>
        </w:rPr>
        <w:t xml:space="preserve">PLAYWRIGHT_NODEJS_PATH=/tmp/playwright-node</w:t>
      </w:r>
      <w:r>
        <w:t xml:space="preserve">. Additionally, IAM policies were scoped to grant </w:t>
      </w:r>
      <w:r>
        <w:rPr>
          <w:rFonts w:ascii="Consolas" w:cs="Consolas" w:eastAsia="Consolas" w:hAnsi="Consolas"/>
          <w:sz w:val="20"/>
          <w:szCs w:val="20"/>
          <w:shd w:fill="F2F2F2"/>
        </w:rPr>
        <w:t xml:space="preserve">bedrock:Retrieve</w:t>
      </w:r>
      <w:r>
        <w:t xml:space="preserve"> for Knowledge Base access and </w:t>
      </w:r>
      <w:r>
        <w:rPr>
          <w:rFonts w:ascii="Consolas" w:cs="Consolas" w:eastAsia="Consolas" w:hAnsi="Consolas"/>
          <w:sz w:val="20"/>
          <w:szCs w:val="20"/>
          <w:shd w:fill="F2F2F2"/>
        </w:rPr>
        <w:t xml:space="preserve">bedrock-agentcore:*</w:t>
      </w:r>
      <w:r>
        <w:t xml:space="preserve"> for remote browser session orchestration.</w:t>
      </w:r>
    </w:p>
    <w:p>
      <w:pPr>
        <w:pStyle w:val="Heading1"/>
        <w:spacing w:after="200" w:before="320"/>
      </w:pPr>
      <w:r>
        <w:rPr>
          <w:b/>
          <w:bCs/>
          <w:color w:val="1F4E79"/>
          <w:sz w:val="28"/>
          <w:szCs w:val="28"/>
        </w:rPr>
        <w:t xml:space="preserve">3. Production Considerations</w:t>
      </w:r>
    </w:p>
    <w:p>
      <w:pPr>
        <w:spacing w:after="180" w:line="300"/>
        <w:jc w:val="both"/>
      </w:pPr>
      <w:r>
        <w:t xml:space="preserve">To scale this agent for an enterprise production environment:</w:t>
      </w:r>
    </w:p>
    <w:p>
      <w:pPr>
        <w:pStyle w:val="ListParagraph"/>
        <w:numPr>
          <w:ilvl w:val="0"/>
          <w:numId w:val="2"/>
        </w:numPr>
        <w:spacing w:after="140" w:line="300"/>
      </w:pPr>
      <w:r>
        <w:rPr>
          <w:b/>
          <w:bCs/>
        </w:rPr>
        <w:t xml:space="preserve">Authentication and Authorization:</w:t>
      </w:r>
      <w:r>
        <w:t xml:space="preserve"> Transition the AgentCore Gateway from </w:t>
      </w:r>
      <w:r>
        <w:rPr>
          <w:rFonts w:ascii="Consolas" w:cs="Consolas" w:eastAsia="Consolas" w:hAnsi="Consolas"/>
          <w:sz w:val="20"/>
          <w:szCs w:val="20"/>
          <w:shd w:fill="F2F2F2"/>
        </w:rPr>
        <w:t xml:space="preserve">NONE</w:t>
      </w:r>
      <w:r>
        <w:t xml:space="preserve"> to Amazon Cognito JWT authorization with role-based access control (RBAC).</w:t>
      </w:r>
    </w:p>
    <w:p>
      <w:pPr>
        <w:pStyle w:val="ListParagraph"/>
        <w:numPr>
          <w:ilvl w:val="0"/>
          <w:numId w:val="2"/>
        </w:numPr>
        <w:spacing w:after="140" w:line="300"/>
      </w:pPr>
      <w:r>
        <w:rPr>
          <w:b/>
          <w:bCs/>
        </w:rPr>
        <w:t xml:space="preserve">Persistent Data Store:</w:t>
      </w:r>
      <w:r>
        <w:t xml:space="preserve"> Replace the in-memory mock datasets in the </w:t>
      </w:r>
      <w:r>
        <w:rPr>
          <w:rFonts w:ascii="Consolas" w:cs="Consolas" w:eastAsia="Consolas" w:hAnsi="Consolas"/>
          <w:sz w:val="20"/>
          <w:szCs w:val="20"/>
          <w:shd w:fill="F2F2F2"/>
        </w:rPr>
        <w:t xml:space="preserve">order-tracker</w:t>
      </w:r>
      <w:r>
        <w:t xml:space="preserve"> and </w:t>
      </w:r>
      <w:r>
        <w:rPr>
          <w:rFonts w:ascii="Consolas" w:cs="Consolas" w:eastAsia="Consolas" w:hAnsi="Consolas"/>
          <w:sz w:val="20"/>
          <w:szCs w:val="20"/>
          <w:shd w:fill="F2F2F2"/>
        </w:rPr>
        <w:t xml:space="preserve">refund-processor</w:t>
      </w:r>
      <w:r>
        <w:t xml:space="preserve"> Lambdas with Amazon DynamoDB, implementing global tables and encryption at rest.</w:t>
      </w:r>
    </w:p>
    <w:p>
      <w:pPr>
        <w:pStyle w:val="ListParagraph"/>
        <w:numPr>
          <w:ilvl w:val="0"/>
          <w:numId w:val="2"/>
        </w:numPr>
        <w:spacing w:after="140" w:line="300"/>
      </w:pPr>
      <w:r>
        <w:rPr>
          <w:b/>
          <w:bCs/>
        </w:rPr>
        <w:t xml:space="preserve">Observability and Resilience:</w:t>
      </w:r>
      <w:r>
        <w:t xml:space="preserve"> Implement Amazon ElastiCache (Redis) to cache frequent Knowledge Base retrieval results, configure circuit breakers on external HTTP calls, and route CloudWatch alarm notifications through AWS SNS to an on-call PagerDuty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Reflection: Production-Grade Customer Support AI Agent</dc:title>
  <dc:creator>Freddy</dc:creator>
  <cp:lastModifiedBy>Un-named</cp:lastModifiedBy>
  <cp:revision>1</cp:revision>
  <dcterms:created xsi:type="dcterms:W3CDTF">2026-09-18T18:02:18.351Z</dcterms:created>
  <dcterms:modified xsi:type="dcterms:W3CDTF">2026-09-18T18:02:18.359Z</dcterms:modified>
</cp:coreProperties>
</file>

<file path=docProps/custom.xml><?xml version="1.0" encoding="utf-8"?>
<Properties xmlns="http://schemas.openxmlformats.org/officeDocument/2006/custom-properties" xmlns:vt="http://schemas.openxmlformats.org/officeDocument/2006/docPropsVTypes"/>
</file>