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Preguntas y respuestas</w:t>
      </w:r>
    </w:p>
    <w:p>
      <w:pPr>
        <w:pStyle w:val="Heading1"/>
      </w:pPr>
      <w:r>
        <w:t>Preguntas y respuestas para la defensa</w:t>
      </w:r>
    </w:p>
    <w:p/>
    <w:p>
      <w:pPr>
        <w:pStyle w:val="Heading2"/>
      </w:pPr>
      <w:r>
        <w:t>1. ¿Dónde está realmente la inteligencia artificial?</w:t>
      </w:r>
    </w:p>
    <w:p>
      <w:r>
        <w:t>En el clasificador XGBoost multiclase que toma 13 variables municipales y asigna uno de cuatro niveles de priorización. SHAP explica qué factores pesan en cada clasificación.</w:t>
      </w:r>
    </w:p>
    <w:p/>
    <w:p>
      <w:pPr>
        <w:pStyle w:val="Heading2"/>
      </w:pPr>
      <w:r>
        <w:t>2. ¿Por qué se utilizó ese modelo?</w:t>
      </w:r>
    </w:p>
    <w:p>
      <w:r>
        <w:t>Porque el producto actual no tiene etiquetas oficiales de “riesgo ambiental” por municipio. XGBoost permite convertir una priorización técnica en un modelo reproducible e interpretable, y SHAP hace visible el peso de cada variable.</w:t>
      </w:r>
    </w:p>
    <w:p/>
    <w:p>
      <w:pPr>
        <w:pStyle w:val="Heading2"/>
      </w:pPr>
      <w:r>
        <w:t>3. ¿Qué diferencia existe entre el ranking y la anomalía?</w:t>
      </w:r>
    </w:p>
    <w:p>
      <w:r>
        <w:t>En la versión vigente no hay un módulo activo de anomalías. Lo que existe es un score técnico de priorización y una clasificación XGBoost que lo hace operativo y explicable.</w:t>
      </w:r>
    </w:p>
    <w:p/>
    <w:p>
      <w:pPr>
        <w:pStyle w:val="Heading2"/>
      </w:pPr>
      <w:r>
        <w:t>4. ¿Cómo se valida una alerta?</w:t>
      </w:r>
    </w:p>
    <w:p>
      <w:r>
        <w:t>No se presenta como alerta automática confirmada. La salida sirve para decidir dónde revisar primero con análisis experto y validación ambiental adicional.</w:t>
      </w:r>
    </w:p>
    <w:p/>
    <w:p>
      <w:pPr>
        <w:pStyle w:val="Heading2"/>
      </w:pPr>
      <w:r>
        <w:t>5. ¿Una anomalía significa contaminación?</w:t>
      </w:r>
    </w:p>
    <w:p>
      <w:r>
        <w:t>No aplica al producto actual. Incluso en la dimensión hídrica, una señal estadística o un ICA bajo no prueba contaminación causal; solo prioriza revisión.</w:t>
      </w:r>
    </w:p>
    <w:p/>
    <w:p>
      <w:pPr>
        <w:pStyle w:val="Heading2"/>
      </w:pPr>
      <w:r>
        <w:t>6. ¿El producto detecta minería ilegal?</w:t>
      </w:r>
    </w:p>
    <w:p>
      <w:r>
        <w:t>No. Usa minería formal observada en RUCOM y señales ambientales/territoriales. Sirve para focalizar revisión, no para declarar ilegalidad.</w:t>
      </w:r>
    </w:p>
    <w:p/>
    <w:p>
      <w:pPr>
        <w:pStyle w:val="Heading2"/>
      </w:pPr>
      <w:r>
        <w:t>7. ¿El sistema funciona actualmente en tiempo real?</w:t>
      </w:r>
    </w:p>
    <w:p>
      <w:r>
        <w:t>No. La metodología viva y la auditoría muestran actualización periódica según la frecuencia real de publicación de cada fuente.</w:t>
      </w:r>
    </w:p>
    <w:p/>
    <w:p>
      <w:pPr>
        <w:pStyle w:val="Heading2"/>
      </w:pPr>
      <w:r>
        <w:t>8. ¿Qué parte ya está construida?</w:t>
      </w:r>
    </w:p>
    <w:p>
      <w:r>
        <w:t>Descarga o consumo de fuentes, integración municipal, construcción de variables, entrenamiento del modelo, métricas, SHAP y aplicación desplegada.</w:t>
      </w:r>
    </w:p>
    <w:p/>
    <w:p>
      <w:pPr>
        <w:pStyle w:val="Heading2"/>
      </w:pPr>
      <w:r>
        <w:t>9. ¿Qué parte se escalaría si el proyecto gana?</w:t>
      </w:r>
    </w:p>
    <w:p>
      <w:r>
        <w:t>Automatización de cortes, históricos temporales, reentrenamiento, validación con expertos, mejoras de demo y alertas/reportes operacionales.</w:t>
      </w:r>
    </w:p>
    <w:p/>
    <w:p>
      <w:pPr>
        <w:pStyle w:val="Heading2"/>
      </w:pPr>
      <w:r>
        <w:t>10. ¿Cómo se actualizarían las fuentes?</w:t>
      </w:r>
    </w:p>
    <w:p>
      <w:r>
        <w:t>Reejecutando los scripts de descarga y preparación o sustituyéndolos por tareas automatizadas según la periodicidad de cada fuente.</w:t>
      </w:r>
    </w:p>
    <w:p/>
    <w:p>
      <w:pPr>
        <w:pStyle w:val="Heading2"/>
      </w:pPr>
      <w:r>
        <w:t>11. ¿Qué pasa cuando un municipio no tiene datos?</w:t>
      </w:r>
    </w:p>
    <w:p>
      <w:r>
        <w:t>Se mantiene la fila municipal y se documenta la ausencia. En agua, por ejemplo, sin estación asociada el índice hídrico observado se deja en 0 y se marca la ausencia de dato.</w:t>
      </w:r>
    </w:p>
    <w:p/>
    <w:p>
      <w:pPr>
        <w:pStyle w:val="Heading2"/>
      </w:pPr>
      <w:r>
        <w:t>12. ¿Cómo se evita generar falsas conclusiones?</w:t>
      </w:r>
    </w:p>
    <w:p>
      <w:r>
        <w:t>Separando explícitamente priorización de causalidad, mostrando limitaciones por fuente y manteniendo trazabilidad de cada variable.</w:t>
      </w:r>
    </w:p>
    <w:p/>
    <w:p>
      <w:pPr>
        <w:pStyle w:val="Heading2"/>
      </w:pPr>
      <w:r>
        <w:t>13. ¿Cómo puede utilizarlo una entidad pública?</w:t>
      </w:r>
    </w:p>
    <w:p>
      <w:r>
        <w:t>Como tablero de focalización territorial para ordenar revisión técnica, cruces interinstitucionales y priorización de recursos de monitoreo.</w:t>
      </w:r>
    </w:p>
    <w:p/>
    <w:p>
      <w:pPr>
        <w:pStyle w:val="Heading2"/>
      </w:pPr>
      <w:r>
        <w:t>14. ¿Por qué se considera un producto avanzado?</w:t>
      </w:r>
    </w:p>
    <w:p>
      <w:r>
        <w:t>Porque no es una idea: integra múltiples fuentes reales, produce resultados reproducibles, tiene explicabilidad y está desplegado.</w:t>
      </w:r>
    </w:p>
    <w:p/>
    <w:p>
      <w:pPr>
        <w:pStyle w:val="Heading2"/>
      </w:pPr>
      <w:r>
        <w:t>15. ¿Cómo puede ampliarse hacia Amazonía y Pacífico?</w:t>
      </w:r>
    </w:p>
    <w:p>
      <w:r>
        <w:t>Automatizando cortes, ampliando coberturas geográficas y sumando nuevas fuentes con la misma lógica territorial municipal o submunicipal.</w:t>
      </w:r>
    </w:p>
    <w:p/>
    <w:p>
      <w:pPr>
        <w:pStyle w:val="Heading2"/>
      </w:pPr>
      <w:r>
        <w:t>16. ¿Cómo se garantiza trazabilidad?</w:t>
      </w:r>
    </w:p>
    <w:p>
      <w:r>
        <w:t>Cada afirmación del deck quedó vinculada a archivos, scripts, capturas o artefactos de salida en las tablas de evidencias.</w:t>
      </w:r>
    </w:p>
    <w:p/>
    <w:p>
      <w:pPr>
        <w:pStyle w:val="Heading2"/>
      </w:pPr>
      <w:r>
        <w:t>17. ¿Cómo se asegura la interpretabilidad?</w:t>
      </w:r>
    </w:p>
    <w:p>
      <w:r>
        <w:t>Con SHAP global y por caso, además de variables crudas visibles en ranking y ficha.</w:t>
      </w:r>
    </w:p>
    <w:p/>
    <w:p>
      <w:pPr>
        <w:pStyle w:val="Heading2"/>
      </w:pPr>
      <w:r>
        <w:t>18. ¿Qué diferencia a AquaBosque de un tablero tradicional?</w:t>
      </w:r>
    </w:p>
    <w:p>
      <w:r>
        <w:t>No solo visualiza datos: los integra, normaliza, prioriza y explica el peso relativo de cada señal.</w:t>
      </w:r>
    </w:p>
    <w:p/>
    <w:p>
      <w:pPr>
        <w:pStyle w:val="Heading2"/>
      </w:pPr>
      <w:r>
        <w:t>19. ¿Qué decisiones puede apoyar?</w:t>
      </w:r>
    </w:p>
    <w:p>
      <w:r>
        <w:t>Dónde revisar primero, dónde cruzar análisis de agua y minería, y qué municipios requieren seguimiento reforzado.</w:t>
      </w:r>
    </w:p>
    <w:p/>
    <w:p>
      <w:pPr>
        <w:pStyle w:val="Heading2"/>
      </w:pPr>
      <w:r>
        <w:t>20. ¿Qué evidencia demuestra que no es solo una idea?</w:t>
      </w:r>
    </w:p>
    <w:p>
      <w:r>
        <w:t>App desplegada, repo reproducible, métricas guardadas, capturas auditadas, archivos de salida y 16 pruebas pasando.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