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34A3" w14:textId="77777777" w:rsidR="00CB040B" w:rsidRDefault="00CB040B" w:rsidP="00643367">
      <w:pPr>
        <w:spacing w:after="0" w:line="360" w:lineRule="auto"/>
        <w:jc w:val="both"/>
        <w:rPr>
          <w:rFonts w:ascii="Arial" w:hAnsi="Arial" w:cs="Arial"/>
        </w:rPr>
      </w:pPr>
    </w:p>
    <w:p w14:paraId="728BDCD4" w14:textId="77777777" w:rsidR="00CB040B" w:rsidRPr="00CB040B" w:rsidRDefault="00CB040B" w:rsidP="00CB040B">
      <w:pPr>
        <w:spacing w:after="0" w:line="360" w:lineRule="auto"/>
        <w:jc w:val="both"/>
        <w:rPr>
          <w:rFonts w:ascii="Arial" w:hAnsi="Arial" w:cs="Arial"/>
          <w:b/>
          <w:bCs/>
          <w:lang w:val="en"/>
        </w:rPr>
      </w:pPr>
      <w:r w:rsidRPr="00CB040B">
        <w:rPr>
          <w:rFonts w:ascii="Arial" w:hAnsi="Arial" w:cs="Arial"/>
          <w:b/>
          <w:bCs/>
          <w:lang w:val="en"/>
        </w:rPr>
        <w:t>Task 1: Paradigm</w:t>
      </w:r>
    </w:p>
    <w:p w14:paraId="7AA392F2" w14:textId="77777777" w:rsidR="00CB040B" w:rsidRPr="00CB040B" w:rsidRDefault="00CB040B" w:rsidP="00CB040B">
      <w:pPr>
        <w:spacing w:after="0" w:line="360" w:lineRule="auto"/>
        <w:jc w:val="both"/>
        <w:rPr>
          <w:rFonts w:ascii="Arial" w:hAnsi="Arial" w:cs="Arial"/>
          <w:lang w:val="en"/>
        </w:rPr>
      </w:pPr>
    </w:p>
    <w:p w14:paraId="70493756" w14:textId="77777777" w:rsidR="00CB040B" w:rsidRPr="00CB040B" w:rsidRDefault="00CB040B" w:rsidP="00CB040B">
      <w:pPr>
        <w:spacing w:after="0" w:line="360" w:lineRule="auto"/>
        <w:jc w:val="both"/>
        <w:rPr>
          <w:rFonts w:ascii="Arial" w:hAnsi="Arial" w:cs="Arial"/>
          <w:b/>
          <w:bCs/>
          <w:lang w:val="en"/>
        </w:rPr>
      </w:pPr>
      <w:r w:rsidRPr="00CB040B">
        <w:rPr>
          <w:rFonts w:ascii="Arial" w:hAnsi="Arial" w:cs="Arial"/>
          <w:b/>
          <w:bCs/>
          <w:lang w:val="en"/>
        </w:rPr>
        <w:t>Tentative Title: A sociotechnical strategy based on predictive analytics and regulatory governance for the prevention of tax fraud within SUNAT’s Electronic Issuance System.</w:t>
      </w:r>
    </w:p>
    <w:p w14:paraId="43DCCDF6" w14:textId="77777777" w:rsidR="00CB040B" w:rsidRPr="00CB040B" w:rsidRDefault="00CB040B" w:rsidP="00CB040B">
      <w:pPr>
        <w:spacing w:after="0" w:line="360" w:lineRule="auto"/>
        <w:jc w:val="both"/>
        <w:rPr>
          <w:rFonts w:ascii="Arial" w:hAnsi="Arial" w:cs="Arial"/>
          <w:lang w:val="en"/>
        </w:rPr>
      </w:pPr>
    </w:p>
    <w:p w14:paraId="08D6299E" w14:textId="161112BC" w:rsidR="00CB040B" w:rsidRPr="00CB040B" w:rsidRDefault="00CB040B" w:rsidP="00CB040B">
      <w:pPr>
        <w:spacing w:after="0" w:line="360" w:lineRule="auto"/>
        <w:jc w:val="both"/>
        <w:rPr>
          <w:rFonts w:ascii="Arial" w:hAnsi="Arial" w:cs="Arial"/>
          <w:lang w:val="en"/>
        </w:rPr>
      </w:pPr>
      <w:r w:rsidRPr="00CB040B">
        <w:rPr>
          <w:rFonts w:ascii="Arial" w:hAnsi="Arial" w:cs="Arial"/>
          <w:lang w:val="en"/>
        </w:rPr>
        <w:t>Given the nature of the problem at hand, the appropriate paradigm</w:t>
      </w:r>
      <w:r>
        <w:rPr>
          <w:rFonts w:ascii="Arial" w:hAnsi="Arial" w:cs="Arial"/>
          <w:lang w:val="en"/>
        </w:rPr>
        <w:t xml:space="preserve"> </w:t>
      </w:r>
      <w:r w:rsidRPr="00CB040B">
        <w:rPr>
          <w:rFonts w:ascii="Arial" w:hAnsi="Arial" w:cs="Arial"/>
          <w:lang w:val="en"/>
        </w:rPr>
        <w:t>consistent with the concepts explored in the first session</w:t>
      </w:r>
      <w:r>
        <w:rPr>
          <w:rFonts w:ascii="Arial" w:hAnsi="Arial" w:cs="Arial"/>
          <w:lang w:val="en"/>
        </w:rPr>
        <w:t xml:space="preserve"> </w:t>
      </w:r>
      <w:r w:rsidRPr="00CB040B">
        <w:rPr>
          <w:rFonts w:ascii="Arial" w:hAnsi="Arial" w:cs="Arial"/>
          <w:lang w:val="en"/>
        </w:rPr>
        <w:t xml:space="preserve">is the Design Science paradigm. Its philosophical foundation lies in Pragmatism, as its operationalization is carried out through Mixed Methods, with the </w:t>
      </w:r>
      <w:proofErr w:type="gramStart"/>
      <w:r w:rsidRPr="00CB040B">
        <w:rPr>
          <w:rFonts w:ascii="Arial" w:hAnsi="Arial" w:cs="Arial"/>
          <w:lang w:val="en"/>
        </w:rPr>
        <w:t>ultimate goal</w:t>
      </w:r>
      <w:proofErr w:type="gramEnd"/>
      <w:r w:rsidRPr="00CB040B">
        <w:rPr>
          <w:rFonts w:ascii="Arial" w:hAnsi="Arial" w:cs="Arial"/>
          <w:lang w:val="en"/>
        </w:rPr>
        <w:t xml:space="preserve"> of creating a comprehensive strategy to resolve the issue: tax fraud that harms the public interest.</w:t>
      </w:r>
    </w:p>
    <w:p w14:paraId="1B073E4F" w14:textId="77777777" w:rsidR="00CB040B" w:rsidRPr="00CB040B" w:rsidRDefault="00CB040B" w:rsidP="00CB040B">
      <w:pPr>
        <w:spacing w:after="0" w:line="360" w:lineRule="auto"/>
        <w:jc w:val="both"/>
        <w:rPr>
          <w:rFonts w:ascii="Arial" w:hAnsi="Arial" w:cs="Arial"/>
          <w:lang w:val="en"/>
        </w:rPr>
      </w:pPr>
    </w:p>
    <w:p w14:paraId="7FEE211B" w14:textId="77777777" w:rsidR="00CB040B" w:rsidRPr="00CB040B" w:rsidRDefault="00CB040B" w:rsidP="00CB040B">
      <w:pPr>
        <w:spacing w:after="0" w:line="360" w:lineRule="auto"/>
        <w:jc w:val="both"/>
        <w:rPr>
          <w:rFonts w:ascii="Arial" w:hAnsi="Arial" w:cs="Arial"/>
          <w:lang w:val="en"/>
        </w:rPr>
      </w:pPr>
      <w:r w:rsidRPr="00CB040B">
        <w:rPr>
          <w:rFonts w:ascii="Arial" w:hAnsi="Arial" w:cs="Arial"/>
          <w:lang w:val="en"/>
        </w:rPr>
        <w:t>The case is ontologically grounded in pragmatic realism and technological constructivism, as electronic tax fraud constitutes a sociotechnical, legal, and economic reality that can be controlled and modified through the implementation of a new strategy based on AI and legal reforms.</w:t>
      </w:r>
    </w:p>
    <w:p w14:paraId="6D7902CA" w14:textId="77777777" w:rsidR="00CB040B" w:rsidRPr="00CB040B" w:rsidRDefault="00CB040B" w:rsidP="00CB040B">
      <w:pPr>
        <w:spacing w:after="0" w:line="360" w:lineRule="auto"/>
        <w:jc w:val="both"/>
        <w:rPr>
          <w:rFonts w:ascii="Arial" w:hAnsi="Arial" w:cs="Arial"/>
          <w:lang w:val="en"/>
        </w:rPr>
      </w:pPr>
    </w:p>
    <w:p w14:paraId="566CF47F" w14:textId="32F194CD" w:rsidR="00CB040B" w:rsidRPr="00CB040B" w:rsidRDefault="00CB040B" w:rsidP="00CB040B">
      <w:pPr>
        <w:spacing w:after="0" w:line="360" w:lineRule="auto"/>
        <w:jc w:val="both"/>
        <w:rPr>
          <w:rFonts w:ascii="Arial" w:hAnsi="Arial" w:cs="Arial"/>
          <w:lang w:val="en"/>
        </w:rPr>
      </w:pPr>
      <w:r w:rsidRPr="00CB040B">
        <w:rPr>
          <w:rFonts w:ascii="Arial" w:hAnsi="Arial" w:cs="Arial"/>
          <w:lang w:val="en"/>
        </w:rPr>
        <w:t>From an epistemological standpoint, the approach involves the application of multidisciplinary knowledge</w:t>
      </w:r>
      <w:r>
        <w:rPr>
          <w:rFonts w:ascii="Arial" w:hAnsi="Arial" w:cs="Arial"/>
          <w:lang w:val="en"/>
        </w:rPr>
        <w:t xml:space="preserve"> </w:t>
      </w:r>
      <w:r w:rsidRPr="00CB040B">
        <w:rPr>
          <w:rFonts w:ascii="Arial" w:hAnsi="Arial" w:cs="Arial"/>
          <w:lang w:val="en"/>
        </w:rPr>
        <w:t>specifically, knowledge in action or practical utility</w:t>
      </w:r>
      <w:r>
        <w:rPr>
          <w:rFonts w:ascii="Arial" w:hAnsi="Arial" w:cs="Arial"/>
          <w:lang w:val="en"/>
        </w:rPr>
        <w:t xml:space="preserve"> </w:t>
      </w:r>
      <w:r w:rsidRPr="00CB040B">
        <w:rPr>
          <w:rFonts w:ascii="Arial" w:hAnsi="Arial" w:cs="Arial"/>
          <w:lang w:val="en"/>
        </w:rPr>
        <w:t>combining algorithmic validity, regulatory viability, and the efficiency of incentives.</w:t>
      </w:r>
    </w:p>
    <w:p w14:paraId="2CEC8261" w14:textId="77777777" w:rsidR="00CB040B" w:rsidRPr="00CB040B" w:rsidRDefault="00CB040B" w:rsidP="00CB040B">
      <w:pPr>
        <w:spacing w:after="0" w:line="360" w:lineRule="auto"/>
        <w:jc w:val="both"/>
        <w:rPr>
          <w:rFonts w:ascii="Arial" w:hAnsi="Arial" w:cs="Arial"/>
          <w:lang w:val="en"/>
        </w:rPr>
      </w:pPr>
    </w:p>
    <w:p w14:paraId="08529FB4" w14:textId="77777777" w:rsidR="00CB040B" w:rsidRPr="00CB040B" w:rsidRDefault="00CB040B" w:rsidP="00CB040B">
      <w:pPr>
        <w:spacing w:after="0" w:line="360" w:lineRule="auto"/>
        <w:jc w:val="both"/>
        <w:rPr>
          <w:rFonts w:ascii="Arial" w:hAnsi="Arial" w:cs="Arial"/>
          <w:lang w:val="en"/>
        </w:rPr>
      </w:pPr>
      <w:r w:rsidRPr="00CB040B">
        <w:rPr>
          <w:rFonts w:ascii="Arial" w:hAnsi="Arial" w:cs="Arial"/>
          <w:lang w:val="en"/>
        </w:rPr>
        <w:t>Methodologically, the study employs an iterative design cycle and a mixed-methods approach. An abductive process links theory, strategy, and outcome evaluation, utilizing quantitative tools (such as data analysis and algorithmic simulation) alongside qualitative ones (such as interviews with tax experts).</w:t>
      </w:r>
    </w:p>
    <w:p w14:paraId="64C57569" w14:textId="77777777" w:rsidR="00CB040B" w:rsidRPr="00CB040B" w:rsidRDefault="00CB040B" w:rsidP="00CB040B">
      <w:pPr>
        <w:spacing w:after="0" w:line="360" w:lineRule="auto"/>
        <w:jc w:val="both"/>
        <w:rPr>
          <w:rFonts w:ascii="Arial" w:hAnsi="Arial" w:cs="Arial"/>
          <w:lang w:val="en"/>
        </w:rPr>
      </w:pPr>
    </w:p>
    <w:p w14:paraId="06361FC1" w14:textId="03A3C32A" w:rsidR="00CB040B" w:rsidRPr="00CB040B" w:rsidRDefault="00CB040B" w:rsidP="00CB040B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CB040B">
        <w:rPr>
          <w:rFonts w:ascii="Arial" w:hAnsi="Arial" w:cs="Arial"/>
          <w:lang w:val="en"/>
        </w:rPr>
        <w:t>Finally, a crucial component of this multidisciplinary approach is the axiological dimension, which prioritizes adherence to ethical and constitutional values</w:t>
      </w:r>
      <w:r>
        <w:rPr>
          <w:rFonts w:ascii="Arial" w:hAnsi="Arial" w:cs="Arial"/>
          <w:lang w:val="en"/>
        </w:rPr>
        <w:t xml:space="preserve"> </w:t>
      </w:r>
      <w:r w:rsidRPr="00CB040B">
        <w:rPr>
          <w:rFonts w:ascii="Arial" w:hAnsi="Arial" w:cs="Arial"/>
          <w:lang w:val="en"/>
        </w:rPr>
        <w:t>specifically fiscal justice and respect for due process</w:t>
      </w:r>
      <w:r>
        <w:rPr>
          <w:rFonts w:ascii="Arial" w:hAnsi="Arial" w:cs="Arial"/>
          <w:lang w:val="en"/>
        </w:rPr>
        <w:t xml:space="preserve"> </w:t>
      </w:r>
      <w:r w:rsidRPr="00CB040B">
        <w:rPr>
          <w:rFonts w:ascii="Arial" w:hAnsi="Arial" w:cs="Arial"/>
          <w:lang w:val="en"/>
        </w:rPr>
        <w:t>in the deployment of new technologies.</w:t>
      </w:r>
    </w:p>
    <w:p w14:paraId="4B2CA686" w14:textId="77777777" w:rsidR="00CB040B" w:rsidRPr="00CB040B" w:rsidRDefault="00CB040B" w:rsidP="00643367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585F0ECC" w14:textId="77777777" w:rsidR="001256BE" w:rsidRPr="00CB040B" w:rsidRDefault="001256BE" w:rsidP="00643367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CB040B">
        <w:rPr>
          <w:rFonts w:ascii="Arial" w:hAnsi="Arial" w:cs="Arial"/>
          <w:lang w:val="en-US"/>
        </w:rPr>
        <w:t xml:space="preserve"> </w:t>
      </w:r>
    </w:p>
    <w:sectPr w:rsidR="001256BE" w:rsidRPr="00CB04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2D86"/>
    <w:multiLevelType w:val="multilevel"/>
    <w:tmpl w:val="330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2A2514A9"/>
    <w:multiLevelType w:val="multilevel"/>
    <w:tmpl w:val="A5D6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3AD0032C"/>
    <w:multiLevelType w:val="multilevel"/>
    <w:tmpl w:val="D54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3B696F39"/>
    <w:multiLevelType w:val="multilevel"/>
    <w:tmpl w:val="3F1A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3CF124E8"/>
    <w:multiLevelType w:val="multilevel"/>
    <w:tmpl w:val="4794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65D67EE8"/>
    <w:multiLevelType w:val="multilevel"/>
    <w:tmpl w:val="C5E8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213350493">
    <w:abstractNumId w:val="0"/>
  </w:num>
  <w:num w:numId="2" w16cid:durableId="788546452">
    <w:abstractNumId w:val="3"/>
  </w:num>
  <w:num w:numId="3" w16cid:durableId="1435128711">
    <w:abstractNumId w:val="4"/>
  </w:num>
  <w:num w:numId="4" w16cid:durableId="697049800">
    <w:abstractNumId w:val="1"/>
  </w:num>
  <w:num w:numId="5" w16cid:durableId="1883127610">
    <w:abstractNumId w:val="2"/>
  </w:num>
  <w:num w:numId="6" w16cid:durableId="1394741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BE"/>
    <w:rsid w:val="000D6D6E"/>
    <w:rsid w:val="001256BE"/>
    <w:rsid w:val="002470CC"/>
    <w:rsid w:val="00457FC4"/>
    <w:rsid w:val="00464B3F"/>
    <w:rsid w:val="00643367"/>
    <w:rsid w:val="0077205A"/>
    <w:rsid w:val="00835B8E"/>
    <w:rsid w:val="008D2ABF"/>
    <w:rsid w:val="00AE4466"/>
    <w:rsid w:val="00CB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3DB512"/>
  <w15:chartTrackingRefBased/>
  <w15:docId w15:val="{286FAA83-B1C5-403A-A93C-66BCA3D2C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5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5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5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5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5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5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5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5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5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5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5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5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56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56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56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56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56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56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5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5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5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5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5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56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56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56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5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56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56B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256B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56B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25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259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Eloy Vizcarra</dc:creator>
  <cp:keywords/>
  <dc:description/>
  <cp:lastModifiedBy>Eloy Vizcarra</cp:lastModifiedBy>
  <cp:revision>4</cp:revision>
  <dcterms:created xsi:type="dcterms:W3CDTF">2026-09-19T02:18:00Z</dcterms:created>
  <dcterms:modified xsi:type="dcterms:W3CDTF">2026-09-19T03:48:00Z</dcterms:modified>
</cp:coreProperties>
</file>