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2E75B6"/>
          <w:sz w:val="56"/>
        </w:rPr>
        <w:t>Clarity V2</w:t>
      </w:r>
    </w:p>
    <w:p>
      <w:pPr>
        <w:spacing w:after="80"/>
      </w:pPr>
      <w:r>
        <w:rPr>
          <w:color w:val="666666"/>
          <w:sz w:val="28"/>
        </w:rPr>
        <w:t>Design System Architecture &amp; Decision Rationale</w:t>
      </w:r>
    </w:p>
    <w:p>
      <w:pPr>
        <w:spacing w:after="80"/>
      </w:pPr>
      <w:r>
        <w:rPr>
          <w:i/>
          <w:color w:val="999999"/>
          <w:sz w:val="20"/>
        </w:rPr>
        <w:t>Prepared by Chris Learey  |  01 April 2026  |  For: Abhishek</w:t>
      </w:r>
    </w:p>
    <w:p>
      <w:pPr>
        <w:pBdr>
          <w:bottom w:val="single" w:sz="6" w:space="1" w:color="2E75B6"/>
        </w:pBdr>
        <w:spacing w:after="240"/>
      </w:pPr>
    </w:p>
    <w:p>
      <w:pPr>
        <w:pStyle w:val="Heading1"/>
      </w:pPr>
      <w:r>
        <w:t>Executive Summary</w:t>
      </w:r>
    </w:p>
    <w:p>
      <w:pPr/>
      <w:r>
        <w:t>The existing design system is fundamentally sound in its monorepo + tokens + Storybook spine. Three decisions are creating compounding technical debt: continued coupling to Material UI’s styled runtime, unresolved mobile token fragmentation, and an emerging shadcn/ui greenfield that risks becoming a parallel universe. The approach is surgery, not a rebuild — the highest-leverage fixes are token-layer and distribution-layer changes, not a full rewrite.</w:t>
      </w:r>
    </w:p>
    <w:p>
      <w:pPr>
        <w:pStyle w:val="Heading1"/>
      </w:pPr>
      <w:r>
        <w:t>Guiding Principles</w:t>
      </w:r>
    </w:p>
    <w:p>
      <w:pPr>
        <w:pStyle w:val="ListBullet"/>
      </w:pPr>
      <w:r>
        <w:rPr>
          <w:b/>
        </w:rPr>
        <w:t xml:space="preserve">Token-first — </w:t>
      </w:r>
      <w:r>
        <w:t>every visual decision is a token. Nothing is hardcoded anywhere in the system.</w:t>
      </w:r>
    </w:p>
    <w:p>
      <w:pPr>
        <w:pStyle w:val="ListBullet"/>
      </w:pPr>
      <w:r>
        <w:rPr>
          <w:b/>
        </w:rPr>
        <w:t xml:space="preserve">Headless by default — </w:t>
      </w:r>
      <w:r>
        <w:t>components own behaviour and accessibility, not aesthetics. Styling is applied via Tailwind CSS utility classes, not a CSS-in-JS runtime.</w:t>
      </w:r>
    </w:p>
    <w:p>
      <w:pPr>
        <w:pStyle w:val="ListBullet"/>
      </w:pPr>
      <w:r>
        <w:rPr>
          <w:b/>
        </w:rPr>
        <w:t xml:space="preserve">Platform-appropriate, not platform-identical — </w:t>
      </w:r>
      <w:r>
        <w:t>web and React Native share tokens and component API conventions, but rendering implementations are separate and optimised for their platform.</w:t>
      </w:r>
    </w:p>
    <w:p>
      <w:pPr>
        <w:pStyle w:val="ListBullet"/>
      </w:pPr>
      <w:r>
        <w:rPr>
          <w:b/>
        </w:rPr>
        <w:t xml:space="preserve">Documentation as code — </w:t>
      </w:r>
      <w:r>
        <w:t>markdown files in the repo are the source of truth for all usage guidelines. Zeroheight is the publication layer, not the authoring layer.</w:t>
      </w:r>
    </w:p>
    <w:p>
      <w:pPr>
        <w:pStyle w:val="ListBullet"/>
      </w:pPr>
      <w:r>
        <w:rPr>
          <w:b/>
        </w:rPr>
        <w:t xml:space="preserve">Machine-readable throughout — </w:t>
      </w:r>
      <w:r>
        <w:t>every layer of the system is queryable by an AI agent via MCP servers, enabling autonomous implementation against a defined design system contract.</w:t>
      </w:r>
    </w:p>
    <w:p>
      <w:pPr>
        <w:pStyle w:val="Heading1"/>
      </w:pPr>
      <w:r>
        <w:t>1. Token Pipeline</w:t>
      </w:r>
    </w:p>
    <w:p>
      <w:pPr>
        <w:pStyle w:val="Heading2"/>
      </w:pPr>
      <w:r>
        <w:t>Code is the source of truth, not Figma</w:t>
      </w:r>
    </w:p>
    <w:p>
      <w:pPr/>
      <w:r>
        <w:t>Every visual decision across every surface (web, React Native, email, backend) resolves to a design token. Tokens are authored as W3C DTCG-format JSON files directly in the Git repo, and Style Dictionary v5 transforms them into platform-specific outputs.</w:t>
      </w:r>
    </w:p>
    <w:p>
      <w:pPr>
        <w:spacing w:after="80"/>
      </w:pPr>
      <w:r>
        <w:t>Style Dictionary generates four platform-specific outputs from a single token source:</w:t>
      </w:r>
    </w:p>
    <w:p>
      <w:pPr>
        <w:pStyle w:val="ListBullet"/>
      </w:pPr>
      <w:r>
        <w:rPr>
          <w:b/>
        </w:rPr>
        <w:t xml:space="preserve">Web — </w:t>
      </w:r>
      <w:r>
        <w:t xml:space="preserve">CSS custom properties </w:t>
      </w:r>
    </w:p>
    <w:p>
      <w:pPr>
        <w:pStyle w:val="ListBullet"/>
      </w:pPr>
      <w:r>
        <w:rPr>
          <w:b/>
        </w:rPr>
        <w:t xml:space="preserve">React Native — </w:t>
      </w:r>
      <w:r>
        <w:t>JS/TS objects with unitless values (density-independent pixels)</w:t>
      </w:r>
    </w:p>
    <w:p>
      <w:pPr>
        <w:pStyle w:val="ListBullet"/>
      </w:pPr>
      <w:r>
        <w:rPr>
          <w:b/>
        </w:rPr>
        <w:t xml:space="preserve">Email templates — </w:t>
      </w:r>
      <w:r>
        <w:t>Inline CSS values for backend template injection</w:t>
      </w:r>
    </w:p>
    <w:p>
      <w:pPr>
        <w:pStyle w:val="ListBullet"/>
      </w:pPr>
      <w:r>
        <w:rPr>
          <w:b/>
        </w:rPr>
        <w:t xml:space="preserve">Backend — </w:t>
      </w:r>
      <w:r>
        <w:t>Plain JSON for any surface that needs token values without a framework dependency</w:t>
      </w:r>
    </w:p>
    <w:p>
      <w:pPr>
        <w:pStyle w:val="Heading3"/>
      </w:pPr>
      <w:r>
        <w:t>Why not Figma as source of truth?</w:t>
      </w:r>
    </w:p>
    <w:p>
      <w:pPr/>
      <w:r>
        <w:t>Figma is explicitly a scratchpad for design exploration — it does not author tokens. Tokens Studio (which offers bidirectional Figma sync) was evaluated and rejected because there is no scenario where token definitions need to flow from Figma into code. The DTCG spec reached its first stable version in October 2025, backed by Adobe, Amazon, Google, Microsoft, Meta, Figma, and Shopify. Style Dictionary v5 supports it natively.</w:t>
      </w:r>
    </w:p>
    <w:p>
      <w:pPr>
        <w:pStyle w:val="Heading3"/>
      </w:pPr>
      <w:r>
        <w:t>Why this is the highest-leverage change</w:t>
      </w:r>
    </w:p>
    <w:p>
      <w:pPr/>
      <w:r>
        <w:t>Mobile currently has a hardcoded token object that drifts from the web tokens. Email templates also hardcode values. Extending the Style Dictionary pipeline to cover both platforms eliminates that drift immediately. This is the single highest-leverage, lowest-risk change in the entire roadmap.</w:t>
      </w:r>
    </w:p>
    <w:p>
      <w:pPr>
        <w:pStyle w:val="Heading1"/>
      </w:pPr>
      <w:r>
        <w:t>2. Component Libraries</w:t>
      </w:r>
    </w:p>
    <w:p>
      <w:pPr>
        <w:pStyle w:val="Heading2"/>
      </w:pPr>
      <w:r>
        <w:t>Web: shadcn/ui + Tailwind CSS</w:t>
      </w:r>
    </w:p>
    <w:p>
      <w:pPr/>
      <w:r>
        <w:t>New web components are built on shadcn/ui — Radix UI primitives + Tailwind CSS, distributed as source code owned directly in the repo rather than a black-box npm dependency.</w:t>
      </w:r>
    </w:p>
    <w:p>
      <w:pPr>
        <w:pStyle w:val="Heading3"/>
      </w:pPr>
      <w:r>
        <w:t>Why shadcn/ui over Material UI</w:t>
      </w:r>
    </w:p>
    <w:p>
      <w:r>
        <w:rPr>
          <w:b/>
        </w:rPr>
        <w:t xml:space="preserve">MUI’s CSS-in-JS runtime is a dead end. </w:t>
      </w:r>
      <w:r>
        <w:t>Their zero-runtime replacement (Pigment CSS) is on hold with no timeline. Every MUI component requires "use client" in Next.js App Router and carries 100–200KB gzipped bundle weight. shadcn/ui compiles to static CSS at build time with zero runtime overhead.</w:t>
      </w:r>
    </w:p>
    <w:p>
      <w:r>
        <w:rPr>
          <w:b/>
        </w:rPr>
        <w:t xml:space="preserve">Material Design’s aesthetic fingerprint is extremely difficult to remove. </w:t>
      </w:r>
      <w:r>
        <w:t>Teams consistently report that "de-Material-ing" MUI costs more effort than building on headless primitives from scratch.</w:t>
      </w:r>
    </w:p>
    <w:p>
      <w:r>
        <w:rPr>
          <w:b/>
        </w:rPr>
        <w:t xml:space="preserve">MUI is web-only with no React Native story. </w:t>
      </w:r>
      <w:r>
        <w:t>Every component built on MUI is a component that can never be structurally aligned with a mobile counterpart.</w:t>
      </w:r>
    </w:p>
    <w:p>
      <w:r>
        <w:rPr>
          <w:b/>
        </w:rPr>
        <w:t xml:space="preserve">AI agents produce better output with shadcn patterns. </w:t>
      </w:r>
      <w:r>
        <w:t>shadcn/ui has the most comprehensive documentation and the largest community. The volume of examples in AI training data means Claude Code and Cursor produce significantly more reliable output when working within the shadcn pattern.</w:t>
      </w:r>
    </w:p>
    <w:p>
      <w:pPr>
        <w:pStyle w:val="Heading3"/>
      </w:pPr>
      <w:r>
        <w:t>Risk tracked: Radix → Base UI</w:t>
      </w:r>
    </w:p>
    <w:p>
      <w:pPr/>
      <w:r>
        <w:t>The Radix UI team has shifted focus to Base UI (now under MUI, reached stable v1.1). The shadcn maintainer is expected to migrate from Radix to Base UI over time, meaning consuming teams absorb that transition without making the decision themselves. Base UI will be reassessed as a direct foundation in 12–18 months.</w:t>
      </w:r>
    </w:p>
    <w:p>
      <w:pPr>
        <w:pStyle w:val="Heading3"/>
      </w:pPr>
      <w:r>
        <w:t>MUI X components are retained</w:t>
      </w:r>
    </w:p>
    <w:p>
      <w:pPr/>
      <w:r>
        <w:t>MUI X components (Data Grid, Date Picker) remain best-in-class for complex data interfaces. They are wrapped behind the Nivoda component API so consumers are insulated from the MUI dependency. Existing MUI components are not migrated wholesale — they are wrapped and migrated incrementally as they are touched.</w:t>
      </w:r>
    </w:p>
    <w:p>
      <w:pPr>
        <w:pStyle w:val="Heading2"/>
      </w:pPr>
      <w:r>
        <w:t>React Native: platform-specific implementations</w:t>
      </w:r>
    </w:p>
    <w:p>
      <w:pPr/>
      <w:r>
        <w:t>React Native components share token values and prop naming conventions with web but are implemented separately using React Native’s styling primitives, with NativeWind as the preferred styling layer (Tailwind-compatible API). No attempt is made to unify web and React Native into a single component codebase — the industry evidence is unambiguous that this produces lowest-common-denominator UX on both platforms. Discord, Shopify, and Microsoft all maintain separate platform implementations with shared tokens and API conventions.</w:t>
      </w:r>
    </w:p>
    <w:p>
      <w:pPr>
        <w:pStyle w:val="Heading1"/>
      </w:pPr>
      <w:r>
        <w:t>3. Monorepo &amp; Nx</w:t>
      </w:r>
    </w:p>
    <w:p>
      <w:pPr/>
      <w:r>
        <w:t>Everything lives in a single Nx monorepo. This is an architectural requirement, not just a convenience.</w:t>
      </w:r>
    </w:p>
    <w:p>
      <w:pPr>
        <w:pStyle w:val="Heading3"/>
      </w:pPr>
      <w:r>
        <w:t>Why a monorepo matters for AI-assisted implementation</w:t>
      </w:r>
    </w:p>
    <w:p>
      <w:pPr/>
      <w:r>
        <w:t>The Nx MCP server exposes a complete, unified project graph of every package, its dependencies, and build outputs. An AI agent can query this graph to understand the full scope of the design system without navigating multiple repositories. Atomic cross-package changes, shared dependency versions, and coordinated releases are all significantly easier.</w:t>
      </w:r>
    </w:p>
    <w:p>
      <w:pPr>
        <w:pStyle w:val="Heading3"/>
      </w:pPr>
      <w:r>
        <w:t>Key Nx capabilities</w:t>
      </w:r>
    </w:p>
    <w:p>
      <w:pPr>
        <w:pStyle w:val="ListBullet"/>
      </w:pPr>
      <w:r>
        <w:rPr>
          <w:b/>
        </w:rPr>
        <w:t xml:space="preserve">nx affected — </w:t>
      </w:r>
      <w:r>
        <w:t>detects which packages are impacted by a token or component change and rebuilds only those, keeping CI fast</w:t>
      </w:r>
    </w:p>
    <w:p>
      <w:pPr>
        <w:pStyle w:val="ListBullet"/>
      </w:pPr>
      <w:r>
        <w:rPr>
          <w:b/>
        </w:rPr>
        <w:t xml:space="preserve">enforce-module-boundaries — </w:t>
      </w:r>
      <w:r>
        <w:t>prevents business logic from leaking into design system packages (this was a gap in the previous setup — the app shell had to be unpublished due to coupling)</w:t>
      </w:r>
    </w:p>
    <w:p>
      <w:pPr>
        <w:pStyle w:val="ListBullet"/>
      </w:pPr>
      <w:r>
        <w:rPr>
          <w:b/>
        </w:rPr>
        <w:t xml:space="preserve">Package automation — </w:t>
      </w:r>
      <w:r>
        <w:t>scaffolding, versioning, changelogs, and publishing via single commands</w:t>
      </w:r>
    </w:p>
    <w:p>
      <w:pPr>
        <w:pStyle w:val="Heading3"/>
      </w:pPr>
      <w:r>
        <w:t>Distribution</w:t>
      </w:r>
    </w:p>
    <w:p>
      <w:pPr/>
      <w:r>
        <w:t>Packages are published as private scoped npm under @nivoda. Core packages (tokens, primitives, icons) use fixed versioning to eliminate cross-package compatibility ambiguity. Standalone utility packages version independently.</w:t>
      </w:r>
    </w:p>
    <w:p>
      <w:pPr>
        <w:pStyle w:val="Heading1"/>
      </w:pPr>
      <w:r>
        <w:t>4. Documentation</w:t>
      </w:r>
    </w:p>
    <w:p>
      <w:pPr/>
      <w:r>
        <w:t>Every component has a corresponding markdown file in the repo covering usage guidelines, when to use and when not to use, accessibility requirements, and do/don’t examples. These files are versioned alongside the code — a component change requires a documentation update in the same PR.</w:t>
      </w:r>
    </w:p>
    <w:p>
      <w:pPr>
        <w:pStyle w:val="Heading3"/>
      </w:pPr>
      <w:r>
        <w:t>Zeroheight as the publication layer</w:t>
      </w:r>
    </w:p>
    <w:p>
      <w:pPr/>
      <w:r>
        <w:t>Zeroheight’s Sync Markdown block pulls markdown files directly from the repo and renders them in a documentation hub for designers, PMs, and product. Storybook stories are embedded within Zeroheight pages for interactive demos.</w:t>
      </w:r>
    </w:p>
    <w:p>
      <w:pPr>
        <w:pStyle w:val="Heading3"/>
      </w:pPr>
      <w:r>
        <w:t>Audience split</w:t>
      </w:r>
    </w:p>
    <w:p>
      <w:pPr>
        <w:pStyle w:val="ListBullet"/>
      </w:pPr>
      <w:r>
        <w:rPr>
          <w:b/>
        </w:rPr>
        <w:t xml:space="preserve">Storybook (engineering) — </w:t>
      </w:r>
      <w:r>
        <w:t>Component APIs, interactive stories, prop tables, visual regression testing via Chromatic</w:t>
      </w:r>
    </w:p>
    <w:p>
      <w:pPr>
        <w:pStyle w:val="ListBullet"/>
      </w:pPr>
      <w:r>
        <w:rPr>
          <w:b/>
        </w:rPr>
        <w:t xml:space="preserve">Zeroheight (cross-functional) — </w:t>
      </w:r>
      <w:r>
        <w:t>Usage guidelines, Figma design references, component status, design principles, and research context</w:t>
      </w:r>
    </w:p>
    <w:p>
      <w:pPr>
        <w:pStyle w:val="Heading1"/>
      </w:pPr>
      <w:r>
        <w:t>5. MCP Servers — Making the System Machine-Readable</w:t>
      </w:r>
    </w:p>
    <w:p>
      <w:pPr/>
      <w:r>
        <w:t>Three MCP servers expose the design system to AI coding agents, collectively providing complete context for autonomous implementation.</w:t>
      </w:r>
    </w:p>
    <w:p>
      <w:pPr>
        <w:pStyle w:val="ListBullet"/>
      </w:pPr>
      <w:r>
        <w:rPr>
          <w:b/>
        </w:rPr>
        <w:t xml:space="preserve">Nx MCP — </w:t>
      </w:r>
      <w:r>
        <w:t>the project graph — which packages exist, their lifecycle status, dependencies, build outputs</w:t>
      </w:r>
    </w:p>
    <w:p>
      <w:pPr>
        <w:pStyle w:val="ListBullet"/>
      </w:pPr>
      <w:r>
        <w:rPr>
          <w:b/>
        </w:rPr>
        <w:t xml:space="preserve">Storybook MCP — </w:t>
      </w:r>
      <w:r>
        <w:t>the technical contract — props, variants, composition patterns, interactive states</w:t>
      </w:r>
    </w:p>
    <w:p>
      <w:pPr>
        <w:pStyle w:val="ListBullet"/>
      </w:pPr>
      <w:r>
        <w:rPr>
          <w:b/>
        </w:rPr>
        <w:t xml:space="preserve">Zeroheight MCP — </w:t>
      </w:r>
      <w:r>
        <w:t>the usage guidelines — when to use a component, design rationale, accessibility guidance, do/don’t examples</w:t>
      </w:r>
    </w:p>
    <w:p>
      <w:pPr>
        <w:spacing w:after="240"/>
      </w:pPr>
      <w:r>
        <w:t>Together, these mean an AI agent given a feature brief can implement a complete, design-system-compliant feature without hardcoding a single value, without using a deprecated component in production, and without making a styling decision that contradicts documented design rationale. The design system becomes delivery infrastructure, not just a component library.</w:t>
      </w:r>
    </w:p>
    <w:p>
      <w:pPr>
        <w:pStyle w:val="Heading1"/>
      </w:pPr>
      <w:r>
        <w:t>6. Mobile Design System</w:t>
      </w:r>
    </w:p>
    <w:p>
      <w:pPr/>
      <w:r>
        <w:t>Mobile has a custom-built component library with no third-party dependency, which gives full control but means alignment with the design system is manual. Current state: approximately 70% colour token alignment with Figma, weak typography alignment, no active Storybook, and legacy JavaScript screens in checkout, orders, and cart.</w:t>
      </w:r>
    </w:p>
    <w:p>
      <w:pPr>
        <w:pStyle w:val="Heading3"/>
      </w:pPr>
      <w:r>
        <w:t>Phased roadmap</w:t>
      </w:r>
    </w:p>
    <w:tbl>
      <w:tblPr>
        <w:tblStyle w:val="TableGrid"/>
        <w:tblW w:type="auto" w:w="0"/>
        <w:jc w:val="left"/>
        <w:tblLook w:firstColumn="1" w:firstRow="1" w:lastColumn="0" w:lastRow="0" w:noHBand="0" w:noVBand="1" w:val="04A0"/>
      </w:tblPr>
      <w:tblGrid>
        <w:gridCol w:w="3120"/>
        <w:gridCol w:w="3120"/>
        <w:gridCol w:w="3120"/>
      </w:tblGrid>
      <w:tr>
        <w:tc>
          <w:tcPr>
            <w:tcW w:type="dxa" w:w="864"/>
            <w:shd w:fill="2E75B6" w:val="clear"/>
          </w:tcPr>
          <w:p>
            <w:r/>
            <w:r>
              <w:rPr>
                <w:rFonts w:ascii="Arial" w:hAnsi="Arial"/>
                <w:b/>
                <w:color w:val="FFFFFF"/>
                <w:sz w:val="20"/>
              </w:rPr>
              <w:t>Phase</w:t>
            </w:r>
          </w:p>
        </w:tc>
        <w:tc>
          <w:tcPr>
            <w:tcW w:type="dxa" w:w="2592"/>
            <w:shd w:fill="2E75B6" w:val="clear"/>
          </w:tcPr>
          <w:p>
            <w:r/>
            <w:r>
              <w:rPr>
                <w:rFonts w:ascii="Arial" w:hAnsi="Arial"/>
                <w:b/>
                <w:color w:val="FFFFFF"/>
                <w:sz w:val="20"/>
              </w:rPr>
              <w:t>Workstream</w:t>
            </w:r>
          </w:p>
        </w:tc>
        <w:tc>
          <w:tcPr>
            <w:tcW w:type="dxa" w:w="5904"/>
            <w:shd w:fill="2E75B6" w:val="clear"/>
          </w:tcPr>
          <w:p>
            <w:r/>
            <w:r>
              <w:rPr>
                <w:rFonts w:ascii="Arial" w:hAnsi="Arial"/>
                <w:b/>
                <w:color w:val="FFFFFF"/>
                <w:sz w:val="20"/>
              </w:rPr>
              <w:t>Detail</w:t>
            </w:r>
          </w:p>
        </w:tc>
      </w:tr>
      <w:tr>
        <w:tc>
          <w:tcPr>
            <w:tcW w:type="dxa" w:w="864"/>
          </w:tcPr>
          <w:p>
            <w:r/>
            <w:r>
              <w:rPr>
                <w:rFonts w:ascii="Arial" w:hAnsi="Arial"/>
                <w:sz w:val="20"/>
              </w:rPr>
              <w:t>1</w:t>
            </w:r>
          </w:p>
        </w:tc>
        <w:tc>
          <w:tcPr>
            <w:tcW w:type="dxa" w:w="2592"/>
          </w:tcPr>
          <w:p>
            <w:r/>
            <w:r>
              <w:rPr>
                <w:rFonts w:ascii="Arial" w:hAnsi="Arial"/>
                <w:b/>
                <w:sz w:val="20"/>
              </w:rPr>
              <w:t>Token alignment</w:t>
            </w:r>
          </w:p>
        </w:tc>
        <w:tc>
          <w:tcPr>
            <w:tcW w:type="dxa" w:w="5904"/>
          </w:tcPr>
          <w:p>
            <w:r/>
            <w:r>
              <w:rPr>
                <w:rFonts w:ascii="Arial" w:hAnsi="Arial"/>
                <w:sz w:val="20"/>
              </w:rPr>
              <w:t>Align colour and typography token names to match Figma. Style Dictionary as single source of truth. ~1 sprint.</w:t>
            </w:r>
          </w:p>
        </w:tc>
      </w:tr>
      <w:tr>
        <w:tc>
          <w:tcPr>
            <w:tcW w:type="dxa" w:w="864"/>
          </w:tcPr>
          <w:p>
            <w:r/>
            <w:r>
              <w:rPr>
                <w:rFonts w:ascii="Arial" w:hAnsi="Arial"/>
                <w:sz w:val="20"/>
              </w:rPr>
              <w:t>2</w:t>
            </w:r>
          </w:p>
        </w:tc>
        <w:tc>
          <w:tcPr>
            <w:tcW w:type="dxa" w:w="2592"/>
          </w:tcPr>
          <w:p>
            <w:r/>
            <w:r>
              <w:rPr>
                <w:rFonts w:ascii="Arial" w:hAnsi="Arial"/>
                <w:b/>
                <w:sz w:val="20"/>
              </w:rPr>
              <w:t>Storybook setup</w:t>
            </w:r>
          </w:p>
        </w:tc>
        <w:tc>
          <w:tcPr>
            <w:tcW w:type="dxa" w:w="5904"/>
          </w:tcPr>
          <w:p>
            <w:r/>
            <w:r>
              <w:rPr>
                <w:rFonts w:ascii="Arial" w:hAnsi="Arial"/>
                <w:sz w:val="20"/>
              </w:rPr>
              <w:t>Re-establish Storybook for mobile React Native components, starting with core components.</w:t>
            </w:r>
          </w:p>
        </w:tc>
      </w:tr>
      <w:tr>
        <w:tc>
          <w:tcPr>
            <w:tcW w:type="dxa" w:w="864"/>
          </w:tcPr>
          <w:p>
            <w:r/>
            <w:r>
              <w:rPr>
                <w:rFonts w:ascii="Arial" w:hAnsi="Arial"/>
                <w:sz w:val="20"/>
              </w:rPr>
              <w:t>3a</w:t>
            </w:r>
          </w:p>
        </w:tc>
        <w:tc>
          <w:tcPr>
            <w:tcW w:type="dxa" w:w="2592"/>
          </w:tcPr>
          <w:p>
            <w:r/>
            <w:r>
              <w:rPr>
                <w:rFonts w:ascii="Arial" w:hAnsi="Arial"/>
                <w:b/>
                <w:sz w:val="20"/>
              </w:rPr>
              <w:t>Core component refactor</w:t>
            </w:r>
          </w:p>
        </w:tc>
        <w:tc>
          <w:tcPr>
            <w:tcW w:type="dxa" w:w="5904"/>
          </w:tcPr>
          <w:p>
            <w:r/>
            <w:r>
              <w:rPr>
                <w:rFonts w:ascii="Arial" w:hAnsi="Arial"/>
                <w:sz w:val="20"/>
              </w:rPr>
              <w:t>Systematically update core components (buttons, filters, inputs) to match Figma variants.</w:t>
            </w:r>
          </w:p>
        </w:tc>
      </w:tr>
      <w:tr>
        <w:tc>
          <w:tcPr>
            <w:tcW w:type="dxa" w:w="864"/>
          </w:tcPr>
          <w:p>
            <w:r/>
            <w:r>
              <w:rPr>
                <w:rFonts w:ascii="Arial" w:hAnsi="Arial"/>
                <w:sz w:val="20"/>
              </w:rPr>
              <w:t>3b</w:t>
            </w:r>
          </w:p>
        </w:tc>
        <w:tc>
          <w:tcPr>
            <w:tcW w:type="dxa" w:w="2592"/>
          </w:tcPr>
          <w:p>
            <w:r/>
            <w:r>
              <w:rPr>
                <w:rFonts w:ascii="Arial" w:hAnsi="Arial"/>
                <w:b/>
                <w:sz w:val="20"/>
              </w:rPr>
              <w:t>Feature screen refresh</w:t>
            </w:r>
          </w:p>
        </w:tc>
        <w:tc>
          <w:tcPr>
            <w:tcW w:type="dxa" w:w="5904"/>
          </w:tcPr>
          <w:p>
            <w:r/>
            <w:r>
              <w:rPr>
                <w:rFonts w:ascii="Arial" w:hAnsi="Arial"/>
                <w:sz w:val="20"/>
              </w:rPr>
              <w:t>Revamp legacy screens (checkout, orders, cart) to use updated components and TypeScript.</w:t>
            </w:r>
          </w:p>
        </w:tc>
      </w:tr>
      <w:tr>
        <w:tc>
          <w:tcPr>
            <w:tcW w:type="dxa" w:w="864"/>
          </w:tcPr>
          <w:p>
            <w:r/>
            <w:r>
              <w:rPr>
                <w:rFonts w:ascii="Arial" w:hAnsi="Arial"/>
                <w:sz w:val="20"/>
              </w:rPr>
              <w:t>4</w:t>
            </w:r>
          </w:p>
        </w:tc>
        <w:tc>
          <w:tcPr>
            <w:tcW w:type="dxa" w:w="2592"/>
          </w:tcPr>
          <w:p>
            <w:r/>
            <w:r>
              <w:rPr>
                <w:rFonts w:ascii="Arial" w:hAnsi="Arial"/>
                <w:b/>
                <w:sz w:val="20"/>
              </w:rPr>
              <w:t>Packaging &amp; versioning</w:t>
            </w:r>
          </w:p>
        </w:tc>
        <w:tc>
          <w:tcPr>
            <w:tcW w:type="dxa" w:w="5904"/>
          </w:tcPr>
          <w:p>
            <w:r/>
            <w:r>
              <w:rPr>
                <w:rFonts w:ascii="Arial" w:hAnsi="Arial"/>
                <w:sz w:val="20"/>
              </w:rPr>
              <w:t>Introduce component packaging and versioning for mobile, aligned with web approach.</w:t>
            </w:r>
          </w:p>
        </w:tc>
      </w:tr>
    </w:tbl>
    <w:p/>
    <w:p>
      <w:pPr>
        <w:pStyle w:val="Heading1"/>
      </w:pPr>
      <w:r>
        <w:t>Implementation Priorities</w:t>
      </w:r>
    </w:p>
    <w:p>
      <w:pPr>
        <w:spacing w:after="80"/>
      </w:pPr>
      <w:r>
        <w:t>Ordered by impact-to-effort ratio:</w:t>
      </w:r>
    </w:p>
    <w:p>
      <w:pPr>
        <w:pStyle w:val="ListBullet"/>
      </w:pPr>
      <w:r>
        <w:rPr>
          <w:b/>
        </w:rPr>
        <w:t xml:space="preserve">Priority 1 — Fix the token pipeline (weeks, not months). </w:t>
      </w:r>
      <w:r>
        <w:t>Migrate to DTCG format, extend Style Dictionary outputs for React Native and email, eliminate all hardcoded values. Code is the source of truth.</w:t>
      </w:r>
    </w:p>
    <w:p>
      <w:pPr>
        <w:pStyle w:val="ListBullet"/>
      </w:pPr>
      <w:r>
        <w:rPr>
          <w:b/>
        </w:rPr>
        <w:t xml:space="preserve">Priority 2 — Stop building new components on MUI’s styled layer. </w:t>
      </w:r>
      <w:r>
        <w:t>Headless primitives + Tailwind for all new work. Existing MUI components are wrapped and migrated incrementally.</w:t>
      </w:r>
    </w:p>
    <w:p>
      <w:pPr>
        <w:pStyle w:val="ListBullet"/>
      </w:pPr>
      <w:r>
        <w:rPr>
          <w:b/>
        </w:rPr>
        <w:t xml:space="preserve">Priority 3 — Add Zeroheight for cross-functional documentation. </w:t>
      </w:r>
      <w:r>
        <w:t>Embed Storybook stories, sync Figma designs, give product and design a no-code editing surface.</w:t>
      </w:r>
    </w:p>
    <w:p>
      <w:pPr>
        <w:pStyle w:val="ListBullet"/>
      </w:pPr>
      <w:r>
        <w:rPr>
          <w:b/>
        </w:rPr>
        <w:t xml:space="preserve">Priority 4 — Enforce Nx module boundaries. </w:t>
      </w:r>
      <w:r>
        <w:t>Prevent business logic leaking into design system packages. Define clear tags for token, primitive, composed, and application packages.</w:t>
      </w:r>
    </w:p>
    <w:p>
      <w:pPr>
        <w:pStyle w:val="ListBullet"/>
      </w:pPr>
      <w:r>
        <w:rPr>
          <w:b/>
        </w:rPr>
        <w:t xml:space="preserve">Priority 5 — Align the shadcn/ui greenfield with the shared token layer. </w:t>
      </w:r>
      <w:r>
        <w:t>The separate codebase must consume the same DTCG tokens via CSS custom properties mapped to Tailwind’s theme. Configuration exercise, not a redesign.</w:t>
      </w:r>
    </w:p>
    <w:p/>
    <w:p>
      <w:pPr>
        <w:pStyle w:val="Heading1"/>
      </w:pPr>
      <w:r>
        <w:t>What Stays vs. What Changes</w:t>
      </w:r>
    </w:p>
    <w:p>
      <w:pPr>
        <w:pStyle w:val="Heading3"/>
      </w:pPr>
      <w:r>
        <w:t>Stays as-is</w:t>
      </w:r>
    </w:p>
    <w:p>
      <w:pPr>
        <w:pStyle w:val="ListBullet"/>
      </w:pPr>
      <w:r>
        <w:t>Monorepo structure and Nx orchestration</w:t>
      </w:r>
    </w:p>
    <w:p>
      <w:pPr>
        <w:pStyle w:val="ListBullet"/>
      </w:pPr>
      <w:r>
        <w:t>Storybook for engineering documentation</w:t>
      </w:r>
    </w:p>
    <w:p>
      <w:pPr>
        <w:pStyle w:val="ListBullet"/>
      </w:pPr>
      <w:r>
        <w:t>Scoped npm packages with lifecycle stages</w:t>
      </w:r>
    </w:p>
    <w:p>
      <w:pPr>
        <w:pStyle w:val="ListBullet"/>
      </w:pPr>
      <w:r>
        <w:t>Multi-surface strategy (web + mobile as separate implementations)</w:t>
      </w:r>
    </w:p>
    <w:p>
      <w:pPr>
        <w:pStyle w:val="Heading3"/>
      </w:pPr>
      <w:r>
        <w:t>Changes</w:t>
      </w:r>
    </w:p>
    <w:p>
      <w:pPr>
        <w:pStyle w:val="ListBullet"/>
      </w:pPr>
      <w:r>
        <w:t>Component foundation: MUI → headless + Tailwind (incrementally)</w:t>
      </w:r>
    </w:p>
    <w:p>
      <w:pPr>
        <w:pStyle w:val="ListBullet"/>
      </w:pPr>
      <w:r>
        <w:t>Token format and pipeline coverage: plain JSON → W3C DTCG, extended to all surfaces</w:t>
      </w:r>
    </w:p>
    <w:p>
      <w:pPr>
        <w:pStyle w:val="ListBullet"/>
      </w:pPr>
      <w:r>
        <w:t>Documentation layer: Storybook-only → Storybook + Zeroheight</w:t>
      </w:r>
    </w:p>
    <w:p>
      <w:pPr>
        <w:pStyle w:val="ListBullet"/>
      </w:pPr>
      <w:r>
        <w:t>Architectural governance: informal → enforced via Nx module boundaries</w:t>
      </w:r>
    </w:p>
    <w:p/>
    <w:p>
      <w:pPr/>
      <w:r>
        <w:rPr>
          <w:color w:val="666666"/>
          <w:sz w:val="22"/>
        </w:rPr>
        <w:t>The existing architecture was well-designed for its era. The task is evolving it to match where the industry has landed in 2026 without a disruptive rewrite.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E2E2E"/>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