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EC52E6">
      <w:pPr>
        <w:jc w:val="right"/>
        <w:rPr>
          <w:rFonts w:hint="eastAsia" w:ascii="微软雅黑" w:hAnsi="微软雅黑" w:eastAsia="微软雅黑" w:cs="微软雅黑"/>
          <w:kern w:val="2"/>
          <w:sz w:val="24"/>
          <w:szCs w:val="32"/>
          <w:lang w:val="en-US" w:eastAsia="zh" w:bidi="ar-SA"/>
          <w:woUserID w:val="1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32"/>
          <w:lang w:val="en-US" w:eastAsia="zh" w:bidi="ar-SA"/>
          <w:woUserID w:val="1"/>
        </w:rPr>
        <w:t>2026年x月x日~x月x日</w:t>
      </w:r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891478396"/>
        <w15:color w:val="DBDBDB"/>
        <w:docPartObj>
          <w:docPartGallery w:val="Table of Contents"/>
          <w:docPartUnique/>
        </w:docPartObj>
      </w:sdtPr>
      <w:sdtEndPr>
        <w:rPr>
          <w:rFonts w:hint="eastAsia" w:ascii="微软雅黑" w:hAnsi="微软雅黑" w:eastAsia="微软雅黑" w:cs="微软雅黑"/>
          <w:kern w:val="2"/>
          <w:sz w:val="21"/>
          <w:szCs w:val="32"/>
          <w:lang w:val="en-US" w:eastAsia="zh" w:bidi="ar-SA"/>
          <w:woUserID w:val="1"/>
        </w:rPr>
      </w:sdtEndPr>
      <w:sdtContent>
        <w:p w14:paraId="4FA0E35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hint="eastAsia" w:ascii="黑体" w:hAnsi="黑体" w:eastAsia="黑体" w:cs="黑体"/>
              <w:b/>
              <w:bCs/>
              <w:sz w:val="28"/>
              <w:szCs w:val="28"/>
            </w:rPr>
            <w:t>目</w:t>
          </w:r>
          <w:r>
            <w:rPr>
              <w:rFonts w:hint="eastAsia" w:ascii="黑体" w:hAnsi="黑体" w:eastAsia="黑体" w:cs="黑体"/>
              <w:b/>
              <w:bCs/>
              <w:sz w:val="28"/>
              <w:szCs w:val="28"/>
              <w:lang w:eastAsia="zh"/>
              <w:woUserID w:val="1"/>
            </w:rPr>
            <w:t xml:space="preserve">  </w:t>
          </w:r>
          <w:r>
            <w:rPr>
              <w:rFonts w:hint="eastAsia" w:ascii="黑体" w:hAnsi="黑体" w:eastAsia="黑体" w:cs="黑体"/>
              <w:b/>
              <w:bCs/>
              <w:sz w:val="28"/>
              <w:szCs w:val="28"/>
            </w:rPr>
            <w:t>录</w:t>
          </w:r>
        </w:p>
        <w:p w14:paraId="74557AF1">
          <w:pPr>
            <w:pStyle w:val="14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kern w:val="2"/>
              <w:sz w:val="24"/>
              <w:szCs w:val="32"/>
              <w:lang w:val="en-US" w:eastAsia="zh" w:bidi="ar-SA"/>
              <w:woUserID w:val="1"/>
            </w:rPr>
            <w:fldChar w:fldCharType="begin"/>
          </w:r>
          <w:r>
            <w:rPr>
              <w:rFonts w:hint="eastAsia" w:ascii="微软雅黑" w:hAnsi="微软雅黑" w:eastAsia="微软雅黑" w:cs="微软雅黑"/>
              <w:kern w:val="2"/>
              <w:sz w:val="24"/>
              <w:szCs w:val="32"/>
              <w:lang w:val="en-US" w:eastAsia="zh" w:bidi="ar-SA"/>
              <w:woUserID w:val="1"/>
            </w:rPr>
            <w:instrText xml:space="preserve">TOC \o "1-9" \h \u </w:instrText>
          </w:r>
          <w:r>
            <w:rPr>
              <w:rFonts w:hint="eastAsia" w:ascii="微软雅黑" w:hAnsi="微软雅黑" w:eastAsia="微软雅黑" w:cs="微软雅黑"/>
              <w:kern w:val="2"/>
              <w:sz w:val="24"/>
              <w:szCs w:val="32"/>
              <w:lang w:val="en-US" w:eastAsia="zh" w:bidi="ar-SA"/>
              <w:woUserID w:val="1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kern w:val="2"/>
              <w:szCs w:val="32"/>
              <w:lang w:val="en-US" w:eastAsia="zh" w:bidi="ar-SA"/>
              <w:woUserID w:val="1"/>
            </w:rPr>
            <w:fldChar w:fldCharType="begin"/>
          </w:r>
          <w:r>
            <w:rPr>
              <w:rFonts w:hint="eastAsia" w:ascii="微软雅黑" w:hAnsi="微软雅黑" w:eastAsia="微软雅黑" w:cs="微软雅黑"/>
              <w:kern w:val="2"/>
              <w:szCs w:val="32"/>
              <w:lang w:val="en-US" w:eastAsia="zh" w:bidi="ar-SA"/>
              <w:woUserID w:val="1"/>
            </w:rPr>
            <w:instrText xml:space="preserve"> HYPERLINK \l _Toc378512060 </w:instrText>
          </w:r>
          <w:r>
            <w:rPr>
              <w:rFonts w:hint="eastAsia" w:ascii="微软雅黑" w:hAnsi="微软雅黑" w:eastAsia="微软雅黑" w:cs="微软雅黑"/>
              <w:kern w:val="2"/>
              <w:szCs w:val="32"/>
              <w:lang w:val="en-US" w:eastAsia="zh" w:bidi="ar-SA"/>
              <w:woUserID w:val="1"/>
            </w:rPr>
            <w:fldChar w:fldCharType="separate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" w:bidi="ar-SA"/>
              <w:woUserID w:val="1"/>
            </w:rPr>
            <w:t>一、 海洋能源资源宏观政策要闻</w:t>
          </w:r>
          <w:r>
            <w:tab/>
          </w:r>
          <w:r>
            <w:fldChar w:fldCharType="begin"/>
          </w:r>
          <w:r>
            <w:instrText xml:space="preserve"> PAGEREF _Toc378512060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kern w:val="2"/>
              <w:szCs w:val="32"/>
              <w:lang w:val="en-US" w:eastAsia="zh" w:bidi="ar-SA"/>
              <w:woUserID w:val="1"/>
            </w:rPr>
            <w:fldChar w:fldCharType="end"/>
          </w:r>
        </w:p>
        <w:p w14:paraId="717CC99A">
          <w:pPr>
            <w:pStyle w:val="14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kern w:val="2"/>
              <w:szCs w:val="32"/>
              <w:lang w:val="en-US" w:eastAsia="zh" w:bidi="ar-SA"/>
              <w:woUserID w:val="1"/>
            </w:rPr>
            <w:fldChar w:fldCharType="begin"/>
          </w:r>
          <w:r>
            <w:rPr>
              <w:rFonts w:hint="eastAsia" w:ascii="微软雅黑" w:hAnsi="微软雅黑" w:eastAsia="微软雅黑" w:cs="微软雅黑"/>
              <w:kern w:val="2"/>
              <w:szCs w:val="32"/>
              <w:lang w:val="en-US" w:eastAsia="zh" w:bidi="ar-SA"/>
              <w:woUserID w:val="1"/>
            </w:rPr>
            <w:instrText xml:space="preserve"> HYPERLINK \l _Toc3213382 </w:instrText>
          </w:r>
          <w:r>
            <w:rPr>
              <w:rFonts w:hint="eastAsia" w:ascii="微软雅黑" w:hAnsi="微软雅黑" w:eastAsia="微软雅黑" w:cs="微软雅黑"/>
              <w:kern w:val="2"/>
              <w:szCs w:val="32"/>
              <w:lang w:val="en-US" w:eastAsia="zh" w:bidi="ar-SA"/>
              <w:woUserID w:val="1"/>
            </w:rPr>
            <w:fldChar w:fldCharType="separate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" w:bidi="ar-SA"/>
              <w:woUserID w:val="1"/>
            </w:rPr>
            <w:t>二、 海洋油气要闻</w:t>
          </w:r>
          <w:r>
            <w:tab/>
          </w:r>
          <w:r>
            <w:fldChar w:fldCharType="begin"/>
          </w:r>
          <w:r>
            <w:instrText xml:space="preserve"> PAGEREF _Toc3213382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kern w:val="2"/>
              <w:szCs w:val="32"/>
              <w:lang w:val="en-US" w:eastAsia="zh" w:bidi="ar-SA"/>
              <w:woUserID w:val="1"/>
            </w:rPr>
            <w:fldChar w:fldCharType="end"/>
          </w:r>
        </w:p>
        <w:p w14:paraId="2047BDF3">
          <w:pPr>
            <w:pStyle w:val="14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kern w:val="2"/>
              <w:szCs w:val="32"/>
              <w:lang w:val="en-US" w:eastAsia="zh" w:bidi="ar-SA"/>
              <w:woUserID w:val="1"/>
            </w:rPr>
            <w:fldChar w:fldCharType="begin"/>
          </w:r>
          <w:r>
            <w:rPr>
              <w:rFonts w:hint="eastAsia" w:ascii="微软雅黑" w:hAnsi="微软雅黑" w:eastAsia="微软雅黑" w:cs="微软雅黑"/>
              <w:kern w:val="2"/>
              <w:szCs w:val="32"/>
              <w:lang w:val="en-US" w:eastAsia="zh" w:bidi="ar-SA"/>
              <w:woUserID w:val="1"/>
            </w:rPr>
            <w:instrText xml:space="preserve"> HYPERLINK \l _Toc627723844 </w:instrText>
          </w:r>
          <w:r>
            <w:rPr>
              <w:rFonts w:hint="eastAsia" w:ascii="微软雅黑" w:hAnsi="微软雅黑" w:eastAsia="微软雅黑" w:cs="微软雅黑"/>
              <w:kern w:val="2"/>
              <w:szCs w:val="32"/>
              <w:lang w:val="en-US" w:eastAsia="zh" w:bidi="ar-SA"/>
              <w:woUserID w:val="1"/>
            </w:rPr>
            <w:fldChar w:fldCharType="separate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" w:bidi="ar-SA"/>
              <w:woUserID w:val="1"/>
            </w:rPr>
            <w:t>三、 海洋新能源要闻</w:t>
          </w:r>
          <w:r>
            <w:tab/>
          </w:r>
          <w:r>
            <w:fldChar w:fldCharType="begin"/>
          </w:r>
          <w:r>
            <w:instrText xml:space="preserve"> PAGEREF _Toc627723844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kern w:val="2"/>
              <w:szCs w:val="32"/>
              <w:lang w:val="en-US" w:eastAsia="zh" w:bidi="ar-SA"/>
              <w:woUserID w:val="1"/>
            </w:rPr>
            <w:fldChar w:fldCharType="end"/>
          </w:r>
        </w:p>
        <w:p w14:paraId="1227F532">
          <w:pPr>
            <w:pStyle w:val="14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kern w:val="2"/>
              <w:szCs w:val="32"/>
              <w:lang w:val="en-US" w:eastAsia="zh" w:bidi="ar-SA"/>
              <w:woUserID w:val="1"/>
            </w:rPr>
            <w:fldChar w:fldCharType="begin"/>
          </w:r>
          <w:r>
            <w:rPr>
              <w:rFonts w:hint="eastAsia" w:ascii="微软雅黑" w:hAnsi="微软雅黑" w:eastAsia="微软雅黑" w:cs="微软雅黑"/>
              <w:kern w:val="2"/>
              <w:szCs w:val="32"/>
              <w:lang w:val="en-US" w:eastAsia="zh" w:bidi="ar-SA"/>
              <w:woUserID w:val="1"/>
            </w:rPr>
            <w:instrText xml:space="preserve"> HYPERLINK \l _Toc1564057090 </w:instrText>
          </w:r>
          <w:r>
            <w:rPr>
              <w:rFonts w:hint="eastAsia" w:ascii="微软雅黑" w:hAnsi="微软雅黑" w:eastAsia="微软雅黑" w:cs="微软雅黑"/>
              <w:kern w:val="2"/>
              <w:szCs w:val="32"/>
              <w:lang w:val="en-US" w:eastAsia="zh" w:bidi="ar-SA"/>
              <w:woUserID w:val="1"/>
            </w:rPr>
            <w:fldChar w:fldCharType="separate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" w:bidi="ar-SA"/>
              <w:woUserID w:val="1"/>
            </w:rPr>
            <w:t>四、 海洋多能融合要闻</w:t>
          </w:r>
          <w:r>
            <w:tab/>
          </w:r>
          <w:r>
            <w:fldChar w:fldCharType="begin"/>
          </w:r>
          <w:r>
            <w:instrText xml:space="preserve"> PAGEREF _Toc1564057090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kern w:val="2"/>
              <w:szCs w:val="32"/>
              <w:lang w:val="en-US" w:eastAsia="zh" w:bidi="ar-SA"/>
              <w:woUserID w:val="1"/>
            </w:rPr>
            <w:fldChar w:fldCharType="end"/>
          </w:r>
        </w:p>
        <w:p w14:paraId="7C87B756">
          <w:pPr>
            <w:pStyle w:val="14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kern w:val="2"/>
              <w:szCs w:val="32"/>
              <w:lang w:val="en-US" w:eastAsia="zh" w:bidi="ar-SA"/>
              <w:woUserID w:val="1"/>
            </w:rPr>
            <w:fldChar w:fldCharType="begin"/>
          </w:r>
          <w:r>
            <w:rPr>
              <w:rFonts w:hint="eastAsia" w:ascii="微软雅黑" w:hAnsi="微软雅黑" w:eastAsia="微软雅黑" w:cs="微软雅黑"/>
              <w:kern w:val="2"/>
              <w:szCs w:val="32"/>
              <w:lang w:val="en-US" w:eastAsia="zh" w:bidi="ar-SA"/>
              <w:woUserID w:val="1"/>
            </w:rPr>
            <w:instrText xml:space="preserve"> HYPERLINK \l _Toc1222869802 </w:instrText>
          </w:r>
          <w:r>
            <w:rPr>
              <w:rFonts w:hint="eastAsia" w:ascii="微软雅黑" w:hAnsi="微软雅黑" w:eastAsia="微软雅黑" w:cs="微软雅黑"/>
              <w:kern w:val="2"/>
              <w:szCs w:val="32"/>
              <w:lang w:val="en-US" w:eastAsia="zh" w:bidi="ar-SA"/>
              <w:woUserID w:val="1"/>
            </w:rPr>
            <w:fldChar w:fldCharType="separate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" w:bidi="ar-SA"/>
              <w:woUserID w:val="1"/>
            </w:rPr>
            <w:t>五、 海洋低碳领域要闻</w:t>
          </w:r>
          <w:r>
            <w:tab/>
          </w:r>
          <w:r>
            <w:fldChar w:fldCharType="begin"/>
          </w:r>
          <w:r>
            <w:instrText xml:space="preserve"> PAGEREF _Toc1222869802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kern w:val="2"/>
              <w:szCs w:val="32"/>
              <w:lang w:val="en-US" w:eastAsia="zh" w:bidi="ar-SA"/>
              <w:woUserID w:val="1"/>
            </w:rPr>
            <w:fldChar w:fldCharType="end"/>
          </w:r>
        </w:p>
        <w:p w14:paraId="22C9FF74">
          <w:pPr>
            <w:jc w:val="center"/>
            <w:rPr>
              <w:rFonts w:hint="eastAsia" w:ascii="微软雅黑" w:hAnsi="微软雅黑" w:eastAsia="微软雅黑" w:cs="微软雅黑"/>
              <w:kern w:val="2"/>
              <w:sz w:val="21"/>
              <w:szCs w:val="32"/>
              <w:lang w:val="en-US" w:eastAsia="zh" w:bidi="ar-SA"/>
              <w:woUserID w:val="1"/>
            </w:rPr>
          </w:pPr>
          <w:r>
            <w:rPr>
              <w:rFonts w:hint="eastAsia" w:ascii="微软雅黑" w:hAnsi="微软雅黑" w:eastAsia="微软雅黑" w:cs="微软雅黑"/>
              <w:kern w:val="2"/>
              <w:szCs w:val="32"/>
              <w:lang w:val="en-US" w:eastAsia="zh" w:bidi="ar-SA"/>
              <w:woUserID w:val="1"/>
            </w:rPr>
            <w:fldChar w:fldCharType="end"/>
          </w:r>
        </w:p>
      </w:sdtContent>
    </w:sdt>
    <w:p w14:paraId="650F0B7C">
      <w:pPr>
        <w:jc w:val="center"/>
        <w:rPr>
          <w:rFonts w:hint="eastAsia" w:ascii="微软雅黑" w:hAnsi="微软雅黑" w:eastAsia="微软雅黑" w:cs="微软雅黑"/>
          <w:kern w:val="2"/>
          <w:sz w:val="21"/>
          <w:szCs w:val="32"/>
          <w:lang w:val="en-US" w:eastAsia="zh" w:bidi="ar-SA"/>
          <w:woUserID w:val="1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NumType w:fmt="decimal" w:start="1"/>
          <w:cols w:space="0" w:num="1"/>
          <w:rtlGutter w:val="0"/>
          <w:docGrid w:type="lines" w:linePitch="387" w:charSpace="0"/>
        </w:sectPr>
      </w:pPr>
    </w:p>
    <w:p w14:paraId="03209236">
      <w:pPr>
        <w:pStyle w:val="3"/>
        <w:numPr>
          <w:ilvl w:val="0"/>
          <w:numId w:val="1"/>
        </w:numPr>
        <w:bidi w:val="0"/>
        <w:spacing w:after="200" w:afterLines="0"/>
        <w:jc w:val="left"/>
        <w:rPr>
          <w:rFonts w:hint="eastAsia" w:ascii="黑体" w:hAnsi="黑体" w:eastAsia="黑体" w:cs="黑体"/>
          <w:b/>
          <w:kern w:val="2"/>
          <w:sz w:val="32"/>
          <w:szCs w:val="24"/>
          <w:lang w:val="en-US" w:eastAsia="zh" w:bidi="ar-SA"/>
          <w:woUserID w:val="1"/>
        </w:rPr>
        <w:sectPr>
          <w:type w:val="continuous"/>
          <w:pgSz w:w="11906" w:h="16838"/>
          <w:pgMar w:top="1440" w:right="1800" w:bottom="1440" w:left="1800" w:header="851" w:footer="992" w:gutter="0"/>
          <w:pgNumType w:fmt="decimal" w:start="1"/>
          <w:cols w:space="0" w:num="1"/>
          <w:rtlGutter w:val="0"/>
          <w:docGrid w:type="lines" w:linePitch="387" w:charSpace="0"/>
        </w:sectPr>
      </w:pPr>
      <w:bookmarkStart w:id="0" w:name="_Toc378512060"/>
      <w:bookmarkStart w:id="1" w:name="_Toc1004958690_ai"/>
    </w:p>
    <w:p w14:paraId="0BAD8339">
      <w:pPr>
        <w:pStyle w:val="3"/>
        <w:numPr>
          <w:ilvl w:val="0"/>
          <w:numId w:val="1"/>
        </w:numPr>
        <w:bidi w:val="0"/>
        <w:spacing w:after="200" w:afterLines="0"/>
        <w:jc w:val="both"/>
        <w:rPr>
          <w:rFonts w:hint="eastAsia" w:ascii="黑体" w:hAnsi="黑体" w:eastAsia="黑体" w:cs="黑体"/>
          <w:b/>
          <w:kern w:val="2"/>
          <w:sz w:val="32"/>
          <w:szCs w:val="24"/>
          <w:lang w:val="en-US" w:eastAsia="zh" w:bidi="ar-SA"/>
          <w:woUserID w:val="1"/>
        </w:rPr>
      </w:pPr>
      <w:bookmarkStart w:id="7" w:name="_GoBack"/>
      <w:r>
        <w:rPr>
          <w:rFonts w:hint="eastAsia" w:ascii="黑体" w:hAnsi="黑体" w:eastAsia="黑体" w:cs="黑体"/>
          <w:b/>
          <w:kern w:val="2"/>
          <w:sz w:val="32"/>
          <w:szCs w:val="24"/>
          <w:highlight w:val="yellow"/>
          <w:lang w:val="en-US" w:eastAsia="zh" w:bidi="ar-SA"/>
          <w:woUserID w:val="1"/>
        </w:rPr>
        <w:t>海洋能源资源宏观政策</w:t>
      </w:r>
      <w:r>
        <w:rPr>
          <w:rFonts w:hint="eastAsia" w:ascii="黑体" w:hAnsi="黑体" w:eastAsia="黑体" w:cs="黑体"/>
          <w:b/>
          <w:kern w:val="2"/>
          <w:sz w:val="32"/>
          <w:szCs w:val="24"/>
          <w:lang w:val="en-US" w:eastAsia="zh" w:bidi="ar-SA"/>
          <w:woUserID w:val="1"/>
        </w:rPr>
        <w:t>要闻</w:t>
      </w:r>
      <w:bookmarkEnd w:id="0"/>
      <w:bookmarkEnd w:id="1"/>
    </w:p>
    <w:bookmarkEnd w:id="7"/>
    <w:p w14:paraId="06805401">
      <w:pP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  <w:t>聚焦范围：</w:t>
      </w:r>
    </w:p>
    <w:p w14:paraId="0862F1E1">
      <w:pP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  <w:t>国家级/地方政府（自然资源部、能源局、生态环境部、沿海省市）发布的海洋能源、海洋资源开发、海洋生态保护相关的顶层规划、指导意见、管理办法、准入规则</w:t>
      </w:r>
    </w:p>
    <w:p w14:paraId="70FF7BE1">
      <w:pP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  <w:t>国家/行业联盟发布的海洋能源领域的标准制定、产业引导通告、中长期发展路线图</w:t>
      </w:r>
    </w:p>
    <w:p w14:paraId="44E299FB">
      <w:pP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  <w:t>国际层面（联合国海洋机构、国际能源署、主要沿海国家）发布的海洋资源开发合作框架、全球海洋能源发展倡议</w:t>
      </w:r>
    </w:p>
    <w:p w14:paraId="1828D034">
      <w:pP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  <w:t>不包括：普通企业发布的内部政策、纯地方园区的常规招商通知、非能源类的海洋政策（如海洋渔业捕捞管控、海洋旅游政策等）</w:t>
      </w:r>
    </w:p>
    <w:p w14:paraId="756965F9">
      <w:pPr>
        <w:rPr>
          <w:rFonts w:hint="eastAsia" w:ascii="宋体" w:hAnsi="宋体" w:eastAsia="宋体" w:cs="宋体"/>
          <w:kern w:val="2"/>
          <w:sz w:val="28"/>
          <w:szCs w:val="36"/>
          <w:highlight w:val="cyan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kern w:val="2"/>
          <w:sz w:val="28"/>
          <w:szCs w:val="36"/>
          <w:highlight w:val="cyan"/>
          <w:lang w:val="en-US" w:eastAsia="zh" w:bidi="ar-SA"/>
          <w:woUserID w:val="1"/>
        </w:rPr>
        <w:t>备注：在每个大类里面，各个网页链接的信息总结还是小标题+300~400字左右的纯段落文本+参考链接，这个不变。</w:t>
      </w:r>
    </w:p>
    <w:p w14:paraId="7C60C6D3">
      <w:pPr>
        <w:pStyle w:val="3"/>
        <w:numPr>
          <w:ilvl w:val="0"/>
          <w:numId w:val="1"/>
        </w:numPr>
        <w:bidi w:val="0"/>
        <w:spacing w:after="200" w:afterLines="0"/>
        <w:jc w:val="left"/>
        <w:rPr>
          <w:rFonts w:hint="eastAsia" w:ascii="黑体" w:hAnsi="黑体" w:eastAsia="黑体" w:cs="黑体"/>
          <w:b/>
          <w:kern w:val="2"/>
          <w:sz w:val="32"/>
          <w:szCs w:val="24"/>
          <w:lang w:val="en-US" w:eastAsia="zh" w:bidi="ar-SA"/>
          <w:woUserID w:val="1"/>
        </w:rPr>
      </w:pPr>
      <w:bookmarkStart w:id="2" w:name="_Toc3213382"/>
      <w:r>
        <w:rPr>
          <w:rFonts w:hint="eastAsia" w:ascii="黑体" w:hAnsi="黑体" w:eastAsia="黑体" w:cs="黑体"/>
          <w:b/>
          <w:kern w:val="2"/>
          <w:sz w:val="32"/>
          <w:szCs w:val="24"/>
          <w:highlight w:val="yellow"/>
          <w:lang w:val="en-US" w:eastAsia="zh" w:bidi="ar-SA"/>
          <w:woUserID w:val="1"/>
        </w:rPr>
        <w:t>海洋油气</w:t>
      </w:r>
      <w:r>
        <w:rPr>
          <w:rFonts w:hint="eastAsia" w:ascii="黑体" w:hAnsi="黑体" w:eastAsia="黑体" w:cs="黑体"/>
          <w:b/>
          <w:kern w:val="2"/>
          <w:sz w:val="32"/>
          <w:szCs w:val="24"/>
          <w:lang w:val="en-US" w:eastAsia="zh" w:bidi="ar-SA"/>
          <w:woUserID w:val="1"/>
        </w:rPr>
        <w:t>要闻</w:t>
      </w:r>
      <w:bookmarkEnd w:id="2"/>
    </w:p>
    <w:p w14:paraId="225092E2">
      <w:pP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  <w:t>聚焦范围：</w:t>
      </w:r>
    </w:p>
    <w:p w14:paraId="5EA9A728">
      <w:pP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  <w:t>勘探开发：近海/深远海油气勘探重大发现、油气田开发项目获批/投产进展、深海油气资源储量评估结果</w:t>
      </w:r>
    </w:p>
    <w:p w14:paraId="70214615">
      <w:pP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  <w:t>技术装备：深海钻井平台、水下生产系统、油气储运装备的技术突破、国产化应用案例</w:t>
      </w:r>
    </w:p>
    <w:p w14:paraId="0643E2C0">
      <w:pP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  <w:t>产业动态：国内外海洋油气开发项目合作签约、国内油气企业深海开发布局、国际油价波动对海洋油气开发的影响分析</w:t>
      </w:r>
    </w:p>
    <w:p w14:paraId="12797F8F">
      <w:pP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  <w:t>安全与环保：海洋油气开采的环保技术应用、溢油应急处置体系建设相关动态</w:t>
      </w:r>
    </w:p>
    <w:p w14:paraId="5ECCC9FD">
      <w:pP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  <w:t>不包括：陆地油气开发相关资讯、成品油零售价格调整、纯油气贸易流通类信息</w:t>
      </w:r>
    </w:p>
    <w:p w14:paraId="0C2ED4C8">
      <w:pPr>
        <w:pStyle w:val="3"/>
        <w:numPr>
          <w:ilvl w:val="0"/>
          <w:numId w:val="1"/>
        </w:numPr>
        <w:bidi w:val="0"/>
        <w:spacing w:after="200" w:afterLines="0"/>
        <w:jc w:val="left"/>
        <w:rPr>
          <w:rFonts w:hint="eastAsia" w:ascii="黑体" w:hAnsi="黑体" w:eastAsia="黑体" w:cs="黑体"/>
          <w:b/>
          <w:kern w:val="2"/>
          <w:sz w:val="32"/>
          <w:szCs w:val="24"/>
          <w:lang w:val="en-US" w:eastAsia="zh" w:bidi="ar-SA"/>
          <w:woUserID w:val="1"/>
        </w:rPr>
      </w:pPr>
      <w:bookmarkStart w:id="3" w:name="_Toc627723844"/>
      <w:r>
        <w:rPr>
          <w:rFonts w:hint="eastAsia" w:ascii="黑体" w:hAnsi="黑体" w:eastAsia="黑体" w:cs="黑体"/>
          <w:b/>
          <w:kern w:val="2"/>
          <w:sz w:val="32"/>
          <w:szCs w:val="24"/>
          <w:highlight w:val="yellow"/>
          <w:lang w:val="en-US" w:eastAsia="zh" w:bidi="ar-SA"/>
          <w:woUserID w:val="1"/>
        </w:rPr>
        <w:t>海洋新能源</w:t>
      </w:r>
      <w:r>
        <w:rPr>
          <w:rFonts w:hint="eastAsia" w:ascii="黑体" w:hAnsi="黑体" w:eastAsia="黑体" w:cs="黑体"/>
          <w:b/>
          <w:kern w:val="2"/>
          <w:sz w:val="32"/>
          <w:szCs w:val="24"/>
          <w:lang w:val="en-US" w:eastAsia="zh" w:bidi="ar-SA"/>
          <w:woUserID w:val="1"/>
        </w:rPr>
        <w:t>要闻</w:t>
      </w:r>
      <w:bookmarkEnd w:id="3"/>
      <w:bookmarkStart w:id="4" w:name="_Toc317693216_ai"/>
      <w:bookmarkEnd w:id="4"/>
    </w:p>
    <w:p w14:paraId="07EBAC26">
      <w:pP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  <w:t>聚焦范围：</w:t>
      </w:r>
    </w:p>
    <w:p w14:paraId="120BD026">
      <w:pP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  <w:t>细分领域覆盖：海上风电（含漂浮式风电）、海上光伏、海水制氢、海洋可再生能源（波浪能、潮汐能、温差能、盐差能）全产业链</w:t>
      </w:r>
    </w:p>
    <w:p w14:paraId="0D77BC61">
      <w:pP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  <w:t>核心关注维度：</w:t>
      </w:r>
    </w:p>
    <w:p w14:paraId="4033B6A5">
      <w:pP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  <w:t>政策类：各地方海上新能源开发补贴政策、海域使用管理细则、并网消纳规定</w:t>
      </w:r>
    </w:p>
    <w:p w14:paraId="3DE8A809">
      <w:pP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  <w:t>产业类：项目招标/开工/并网进展、装机规模统计、产业链上下游（风机/光伏组件、海底电缆、储能配套）技术迭代</w:t>
      </w:r>
    </w:p>
    <w:p w14:paraId="5BBB1633">
      <w:pP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  <w:t>技术类：深远海新能源开发技术、恶劣海况下装备可靠性技术、发电效率提升技术的最新研究成果</w:t>
      </w:r>
    </w:p>
    <w:p w14:paraId="2E87C110">
      <w:pP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  <w:t>不包括：陆地风电、陆地光伏、传统化工制氢相关资讯</w:t>
      </w:r>
    </w:p>
    <w:p w14:paraId="3F805851">
      <w:pPr>
        <w:pStyle w:val="3"/>
        <w:numPr>
          <w:ilvl w:val="0"/>
          <w:numId w:val="1"/>
        </w:numPr>
        <w:bidi w:val="0"/>
        <w:spacing w:after="200" w:afterLines="0"/>
        <w:jc w:val="left"/>
        <w:rPr>
          <w:rFonts w:hint="eastAsia" w:ascii="黑体" w:hAnsi="黑体" w:eastAsia="黑体" w:cs="黑体"/>
          <w:b/>
          <w:kern w:val="2"/>
          <w:sz w:val="32"/>
          <w:szCs w:val="24"/>
          <w:lang w:val="en-US" w:eastAsia="zh" w:bidi="ar-SA"/>
          <w:woUserID w:val="1"/>
        </w:rPr>
      </w:pPr>
      <w:bookmarkStart w:id="5" w:name="_Toc1564057090"/>
      <w:r>
        <w:rPr>
          <w:rFonts w:hint="eastAsia" w:ascii="黑体" w:hAnsi="黑体" w:eastAsia="黑体" w:cs="黑体"/>
          <w:b/>
          <w:kern w:val="2"/>
          <w:sz w:val="32"/>
          <w:szCs w:val="24"/>
          <w:highlight w:val="yellow"/>
          <w:lang w:val="en-US" w:eastAsia="zh" w:bidi="ar-SA"/>
          <w:woUserID w:val="1"/>
        </w:rPr>
        <w:t>海洋多能融合</w:t>
      </w:r>
      <w:r>
        <w:rPr>
          <w:rFonts w:hint="eastAsia" w:ascii="黑体" w:hAnsi="黑体" w:eastAsia="黑体" w:cs="黑体"/>
          <w:b/>
          <w:kern w:val="2"/>
          <w:sz w:val="32"/>
          <w:szCs w:val="24"/>
          <w:lang w:val="en-US" w:eastAsia="zh" w:bidi="ar-SA"/>
          <w:woUserID w:val="1"/>
        </w:rPr>
        <w:t>要闻</w:t>
      </w:r>
      <w:bookmarkEnd w:id="5"/>
    </w:p>
    <w:p w14:paraId="19657A51">
      <w:pP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  <w:t>聚焦范围：</w:t>
      </w:r>
    </w:p>
    <w:p w14:paraId="0FD258AC">
      <w:pP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  <w:t>跨领域融合模式：海上风电/光伏与渔业融合（渔光互补、海上牧场一体化）、海上风电与油气平台融合供电、海上新能源与海水淡化耦合、海洋微藻生物质能制备、海上多能互补微电网建设</w:t>
      </w:r>
    </w:p>
    <w:p w14:paraId="035F0D9E">
      <w:pP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  <w:t>相关动态：融合项目试点落地、商业模式创新、行业标准制定、综合能效提升案例</w:t>
      </w:r>
    </w:p>
    <w:p w14:paraId="79501AB0">
      <w:pP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  <w:t>不包括：单类能源的独立开发资讯、纯陆地的多能融合项目</w:t>
      </w:r>
    </w:p>
    <w:p w14:paraId="7532E32C">
      <w:pPr>
        <w:pStyle w:val="3"/>
        <w:numPr>
          <w:ilvl w:val="0"/>
          <w:numId w:val="1"/>
        </w:numPr>
        <w:bidi w:val="0"/>
        <w:spacing w:after="200" w:afterLines="0"/>
        <w:jc w:val="left"/>
        <w:rPr>
          <w:rFonts w:hint="eastAsia" w:ascii="黑体" w:hAnsi="黑体" w:eastAsia="黑体" w:cs="黑体"/>
          <w:b/>
          <w:kern w:val="2"/>
          <w:sz w:val="32"/>
          <w:szCs w:val="24"/>
          <w:lang w:val="en-US" w:eastAsia="zh" w:bidi="ar-SA"/>
          <w:woUserID w:val="1"/>
        </w:rPr>
      </w:pPr>
      <w:bookmarkStart w:id="6" w:name="_Toc1222869802"/>
      <w:r>
        <w:rPr>
          <w:rFonts w:hint="eastAsia" w:ascii="黑体" w:hAnsi="黑体" w:eastAsia="黑体" w:cs="黑体"/>
          <w:b/>
          <w:kern w:val="2"/>
          <w:sz w:val="32"/>
          <w:szCs w:val="24"/>
          <w:highlight w:val="yellow"/>
          <w:lang w:val="en-US" w:eastAsia="zh" w:bidi="ar-SA"/>
          <w:woUserID w:val="1"/>
        </w:rPr>
        <w:t>海洋低碳</w:t>
      </w:r>
      <w:r>
        <w:rPr>
          <w:rFonts w:hint="eastAsia" w:ascii="黑体" w:hAnsi="黑体" w:eastAsia="黑体" w:cs="黑体"/>
          <w:b/>
          <w:kern w:val="2"/>
          <w:sz w:val="32"/>
          <w:szCs w:val="24"/>
          <w:lang w:val="en-US" w:eastAsia="zh" w:bidi="ar-SA"/>
          <w:woUserID w:val="1"/>
        </w:rPr>
        <w:t>领域要闻</w:t>
      </w:r>
      <w:bookmarkEnd w:id="6"/>
    </w:p>
    <w:p w14:paraId="1EBE074A">
      <w:pP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  <w:t>聚焦范围：</w:t>
      </w:r>
    </w:p>
    <w:p w14:paraId="7F8CB6F6">
      <w:pP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  <w:t>海洋碳汇：蓝碳生态系统（红树林、盐沼、海草床）保护与修复、蓝碳交易试点、蓝碳核算方法学研究进展</w:t>
      </w:r>
    </w:p>
    <w:p w14:paraId="186BA97D">
      <w:pP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  <w:t>减排降碳：海洋能源开发环节的节能减排技术、海上船舶低碳燃料应用、港口岸电普及、海洋油气开采甲烷减排相关动态</w:t>
      </w:r>
    </w:p>
    <w:p w14:paraId="2A12B373">
      <w:pP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  <w:t>负碳技术：海洋碳封存技术（海底二氧化碳地质封存、海洋碱化固碳）的研究与试点进展</w:t>
      </w:r>
    </w:p>
    <w:p w14:paraId="6C985C72">
      <w:pP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  <w:t>国际合作：全球海洋气候治理相关协议、跨国海洋低碳项目合作</w:t>
      </w:r>
    </w:p>
    <w:p w14:paraId="076C942A">
      <w: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  <w:t>不包括：纯陆地低碳政策、工业节能减排、林业碳汇相关资讯</w:t>
      </w:r>
    </w:p>
    <w:sectPr>
      <w:footerReference r:id="rId5" w:type="default"/>
      <w:pgSz w:w="11906" w:h="16838"/>
      <w:pgMar w:top="1440" w:right="1800" w:bottom="1440" w:left="1800" w:header="851" w:footer="992" w:gutter="0"/>
      <w:pgNumType w:fmt="decimal" w:start="1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72C61B"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F5F848A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WLh2QyAgAAY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9YuHZ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F5F848A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5F8DDC"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17A1715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KVIPQyAgAAYQ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pUg9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17A1715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3427CA">
    <w:pPr>
      <w:pStyle w:val="12"/>
      <w:jc w:val="center"/>
      <w:rPr>
        <w:rFonts w:hint="eastAsia"/>
        <w:b/>
        <w:bCs/>
        <w:color w:val="FF0000"/>
        <w:sz w:val="52"/>
        <w:szCs w:val="52"/>
        <w:lang w:eastAsia="zh"/>
        <w:woUserID w:val="1"/>
      </w:rPr>
    </w:pPr>
    <w:r>
      <w:rPr>
        <w:rFonts w:hint="eastAsia"/>
        <w:b/>
        <w:bCs/>
        <w:color w:val="FF0000"/>
        <w:sz w:val="52"/>
        <w:szCs w:val="52"/>
        <w:lang w:eastAsia="zh"/>
        <w:woUserID w:val="1"/>
      </w:rPr>
      <w:t>海洋资源战略研究中心信息推送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BF2FDE"/>
    <w:multiLevelType w:val="singleLevel"/>
    <w:tmpl w:val="FFBF2FD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3DF9323"/>
    <w:rsid w:val="34B70380"/>
    <w:rsid w:val="3AE174A3"/>
    <w:rsid w:val="3EBB7012"/>
    <w:rsid w:val="43446334"/>
    <w:rsid w:val="44A84E71"/>
    <w:rsid w:val="477DCE1E"/>
    <w:rsid w:val="573E1E21"/>
    <w:rsid w:val="5B487E91"/>
    <w:rsid w:val="5CF9550F"/>
    <w:rsid w:val="5EFEBDE8"/>
    <w:rsid w:val="5F9F2584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C7FF167"/>
    <w:rsid w:val="7DBED0B8"/>
    <w:rsid w:val="7F79C282"/>
    <w:rsid w:val="7F7B6CAE"/>
    <w:rsid w:val="7FBF6DD0"/>
    <w:rsid w:val="7FCD17FE"/>
    <w:rsid w:val="7FD7E9A0"/>
    <w:rsid w:val="7FE9FBB2"/>
    <w:rsid w:val="8FFFA67E"/>
    <w:rsid w:val="A97F623E"/>
    <w:rsid w:val="ABEFB6E5"/>
    <w:rsid w:val="AFB76D72"/>
    <w:rsid w:val="AFBF8780"/>
    <w:rsid w:val="BEEFCB4B"/>
    <w:rsid w:val="BFE6F841"/>
    <w:rsid w:val="D5DE8897"/>
    <w:rsid w:val="E7FE3684"/>
    <w:rsid w:val="EF6EC7C8"/>
    <w:rsid w:val="EFFF70E4"/>
    <w:rsid w:val="F55F8DD0"/>
    <w:rsid w:val="F7EDDF01"/>
    <w:rsid w:val="F7EEC240"/>
    <w:rsid w:val="FBF696B1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7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3">
    <w:name w:val="toc 1"/>
    <w:basedOn w:val="1"/>
    <w:next w:val="1"/>
    <w:uiPriority w:val="0"/>
  </w:style>
  <w:style w:type="paragraph" w:styleId="14">
    <w:name w:val="toc 2"/>
    <w:basedOn w:val="1"/>
    <w:next w:val="1"/>
    <w:uiPriority w:val="0"/>
    <w:pPr>
      <w:ind w:left="420" w:leftChars="200"/>
    </w:pPr>
  </w:style>
  <w:style w:type="table" w:styleId="16">
    <w:name w:val="Table Grid"/>
    <w:basedOn w:val="15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Char"/>
    <w:link w:val="2"/>
    <w:uiPriority w:val="0"/>
    <w:rPr>
      <w:rFonts w:ascii="Arial" w:hAnsi="Arial"/>
      <w:b/>
      <w:kern w:val="44"/>
      <w:sz w:val="3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WWO_wpscloud_20260521192124-597ff31d3d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2018-05-29T01:24:00Z</dcterms:created>
  <dcterms:modified xsi:type="dcterms:W3CDTF">2026-05-24T00:13:35Z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2052-12.9.0.26832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B5D7C851C3349FEF2FD2116AC0F80A2B_43</vt:lpwstr>
  </property>
</Properties>
</file>