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80" w:after="240"/>
        <w:jc w:val="center"/>
        <w:rPr/>
      </w:pPr>
      <w:r>
        <w:rPr>
          <w:rFonts w:eastAsia="Noto Sans KR" w:cs="Noto Sans KR" w:ascii="Noto Sans KR" w:hAnsi="Noto Sans KR"/>
          <w:b/>
          <w:color w:val="2563EB"/>
          <w:sz w:val="18"/>
        </w:rPr>
        <w:t>CORE PLATFORM FRAMEWORK</w:t>
      </w:r>
    </w:p>
    <w:p>
      <w:pPr>
        <w:pStyle w:val="Title"/>
        <w:rPr/>
      </w:pPr>
      <w:r>
        <w:rPr>
          <w:rFonts w:eastAsia="Noto Sans KR" w:cs="Noto Sans KR" w:ascii="Noto Sans KR" w:hAnsi="Noto Sans KR"/>
        </w:rPr>
        <w:t xml:space="preserve">Specification </w:t>
      </w:r>
      <w:r>
        <w:rPr>
          <w:rFonts w:ascii="Noto Sans KR" w:hAnsi="Noto Sans KR" w:cs="Noto Sans KR" w:eastAsia="Noto Sans KR"/>
        </w:rPr>
        <w:t>기술 명세</w:t>
      </w:r>
    </w:p>
    <w:p>
      <w:pPr>
        <w:pStyle w:val="Subtitle"/>
        <w:rPr/>
      </w:pPr>
      <w:r>
        <w:rPr>
          <w:rFonts w:eastAsia="Noto Sans KR" w:cs="Noto Sans KR" w:ascii="Noto Sans KR" w:hAnsi="Noto Sans KR"/>
        </w:rPr>
        <w:t>CPF</w:t>
      </w:r>
      <w:r>
        <w:rPr>
          <w:rFonts w:ascii="Noto Sans KR" w:hAnsi="Noto Sans KR" w:cs="Noto Sans KR" w:eastAsia="Noto Sans KR"/>
        </w:rPr>
        <w:t>의 제품 범위</w:t>
      </w:r>
      <w:r>
        <w:rPr>
          <w:rFonts w:eastAsia="Noto Sans KR" w:cs="Noto Sans KR" w:ascii="Noto Sans KR" w:hAnsi="Noto Sans KR"/>
        </w:rPr>
        <w:t xml:space="preserve">·Stack·Public Contract·Identity·DB3 </w:t>
      </w:r>
      <w:r>
        <w:rPr>
          <w:rFonts w:ascii="Noto Sans KR" w:hAnsi="Noto Sans KR" w:cs="Noto Sans KR" w:eastAsia="Noto Sans KR"/>
        </w:rPr>
        <w:t>명세</w:t>
      </w:r>
    </w:p>
    <w:p>
      <w:pPr>
        <w:pStyle w:val="CPFLead"/>
        <w:pBdr>
          <w:left w:val="single" w:sz="20" w:space="8" w:color="0F9D7A"/>
        </w:pBdr>
        <w:shd w:fill="EEF5FB"/>
        <w:spacing w:before="80" w:after="180"/>
        <w:ind w:start="170" w:end="113"/>
        <w:rPr/>
      </w:pPr>
      <w:r>
        <w:rPr>
          <w:rFonts w:ascii="Noto Sans KR" w:hAnsi="Noto Sans KR" w:eastAsia="Noto Sans KR" w:cs="Noto Sans KR"/>
        </w:rPr>
        <w:t>아키텍트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리드 개발자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검수자를 위한 제품 명세입니다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>구현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문서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 xml:space="preserve">환경이 따라야 할 </w:t>
      </w:r>
      <w:r>
        <w:rPr>
          <w:rFonts w:eastAsia="Noto Sans KR" w:ascii="Noto Sans KR" w:hAnsi="Noto Sans KR" w:cs="Noto Sans KR"/>
        </w:rPr>
        <w:t xml:space="preserve">Canonical </w:t>
      </w:r>
      <w:r>
        <w:rPr>
          <w:rFonts w:ascii="Noto Sans KR" w:hAnsi="Noto Sans KR" w:eastAsia="Noto Sans KR" w:cs="Noto Sans KR"/>
        </w:rPr>
        <w:t>계약을 확인합니다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Source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의 기술 </w:t>
      </w:r>
      <w:r>
        <w:rPr>
          <w:rFonts w:eastAsia="Noto Sans KR" w:cs="Noto Sans KR" w:ascii="Noto Sans KR" w:hAnsi="Noto Sans KR"/>
          <w:color w:val="243547"/>
          <w:sz w:val="20"/>
        </w:rPr>
        <w:t>Stack</w:t>
      </w:r>
      <w:r>
        <w:rPr>
          <w:rFonts w:ascii="Noto Sans KR" w:hAnsi="Noto Sans KR" w:cs="Noto Sans KR" w:eastAsia="Noto Sans KR"/>
          <w:color w:val="243547"/>
          <w:sz w:val="20"/>
        </w:rPr>
        <w:t>을 확인합니다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Public Contract</w:t>
      </w:r>
      <w:r>
        <w:rPr>
          <w:rFonts w:ascii="Noto Sans KR" w:hAnsi="Noto Sans KR" w:cs="Noto Sans KR" w:eastAsia="Noto Sans KR"/>
          <w:color w:val="243547"/>
          <w:sz w:val="20"/>
        </w:rPr>
        <w:t xml:space="preserve">와 </w:t>
      </w:r>
      <w:r>
        <w:rPr>
          <w:rFonts w:eastAsia="Noto Sans KR" w:cs="Noto Sans KR" w:ascii="Noto Sans KR" w:hAnsi="Noto Sans KR"/>
          <w:color w:val="243547"/>
          <w:sz w:val="20"/>
        </w:rPr>
        <w:t xml:space="preserve">Identity </w:t>
      </w:r>
      <w:r>
        <w:rPr>
          <w:rFonts w:ascii="Noto Sans KR" w:hAnsi="Noto Sans KR" w:cs="Noto Sans KR" w:eastAsia="Noto Sans KR"/>
          <w:color w:val="243547"/>
          <w:sz w:val="20"/>
        </w:rPr>
        <w:t>정본을 확인합니다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Topology/DB3 </w:t>
      </w:r>
      <w:r>
        <w:rPr>
          <w:rFonts w:ascii="Noto Sans KR" w:hAnsi="Noto Sans KR" w:cs="Noto Sans KR" w:eastAsia="Noto Sans KR"/>
          <w:color w:val="243547"/>
          <w:sz w:val="20"/>
        </w:rPr>
        <w:t>지원 범위를 오해 없이 확인합니다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</w:r>
      <w:r>
        <w:rPr>
          <w:rFonts w:ascii="Noto Sans KR" w:hAnsi="Noto Sans KR" w:eastAsia="Noto Sans KR" w:cs="Noto Sans KR"/>
        </w:rPr>
      </w:r>
    </w:p>
    <w:p>
      <w:pPr>
        <w:pStyle w:val="CPFTOCTitle"/>
        <w:keepNext w:val="true"/>
        <w:spacing w:before="0" w:after="220"/>
        <w:rPr/>
      </w:pPr>
      <w:r>
        <w:rPr>
          <w:rFonts w:ascii="Noto Sans KR" w:hAnsi="Noto Sans KR" w:eastAsia="Noto Sans KR" w:cs="Noto Sans KR"/>
        </w:rPr>
        <w:t>목차</w:t>
      </w:r>
    </w:p>
    <w:p>
      <w:pPr>
        <w:pStyle w:val="Normal"/>
        <w:spacing w:before="0" w:after="100"/>
        <w:ind w:start="255"/>
        <w:rPr/>
      </w:pPr>
      <w:r>
        <w:rPr>
          <w:rFonts w:ascii="Noto Sans KR" w:hAnsi="Noto Sans KR" w:eastAsia="Noto Sans KR" w:cs="Noto Sans KR"/>
        </w:rPr>
        <w:t>필요한 작업을 먼저 찾고 해당 장으로 이동합니다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페이지 번호는 최종 </w:t>
      </w:r>
      <w:r>
        <w:rPr>
          <w:rFonts w:eastAsia="Noto Sans KR" w:ascii="Noto Sans KR" w:hAnsi="Noto Sans KR" w:cs="Noto Sans KR"/>
        </w:rPr>
        <w:t xml:space="preserve">PDF </w:t>
      </w:r>
      <w:r>
        <w:rPr>
          <w:rFonts w:ascii="Noto Sans KR" w:hAnsi="Noto Sans KR" w:eastAsia="Noto Sans KR" w:cs="Noto Sans KR"/>
        </w:rPr>
        <w:t>기준입니다</w:t>
      </w:r>
      <w:r>
        <w:rPr>
          <w:rFonts w:eastAsia="Noto Sans KR" w:ascii="Noto Sans KR" w:hAnsi="Noto Sans KR" w:cs="Noto Sans KR"/>
        </w:rPr>
        <w:t>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"1-2" \h</w:instrText>
          </w:r>
          <w:r>
            <w:rPr>
              <w:rStyle w:val="IndexLink"/>
            </w:rPr>
            <w:fldChar w:fldCharType="separate"/>
          </w:r>
          <w:hyperlink w:anchor="__RefHeading___Toc4532_1421710836">
            <w:r>
              <w:rPr>
                <w:rStyle w:val="IndexLink"/>
              </w:rPr>
              <w:t xml:space="preserve">1 </w:t>
            </w:r>
            <w:r>
              <w:rPr>
                <w:rStyle w:val="IndexLink"/>
              </w:rPr>
              <w:t>제품 범위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34_1421710836">
            <w:r>
              <w:rPr>
                <w:rStyle w:val="IndexLink"/>
              </w:rPr>
              <w:t>제품 범위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536_1421710836">
            <w:r>
              <w:rPr>
                <w:rStyle w:val="IndexLink"/>
              </w:rPr>
              <w:t xml:space="preserve">2 </w:t>
            </w:r>
            <w:r>
              <w:rPr>
                <w:rStyle w:val="IndexLink"/>
              </w:rPr>
              <w:t xml:space="preserve">기술 </w:t>
            </w:r>
            <w:r>
              <w:rPr>
                <w:rStyle w:val="IndexLink"/>
              </w:rPr>
              <w:t>Stack</w:t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38_1421710836">
            <w:r>
              <w:rPr>
                <w:rStyle w:val="IndexLink"/>
              </w:rPr>
              <w:t>Canonical Stack</w:t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540_1421710836">
            <w:r>
              <w:rPr>
                <w:rStyle w:val="IndexLink"/>
              </w:rPr>
              <w:t>3 Public Contract</w:t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42_1421710836">
            <w:r>
              <w:rPr>
                <w:rStyle w:val="IndexLink"/>
              </w:rPr>
              <w:t xml:space="preserve">대표 </w:t>
            </w:r>
            <w:r>
              <w:rPr>
                <w:rStyle w:val="IndexLink"/>
              </w:rPr>
              <w:t>Public Contract</w:t>
              <w:tab/>
              <w:t>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544_1421710836">
            <w:r>
              <w:rPr>
                <w:rStyle w:val="IndexLink"/>
              </w:rPr>
              <w:t>4 Context · Identity · Operation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46_1421710836">
            <w:r>
              <w:rPr>
                <w:rStyle w:val="IndexLink"/>
              </w:rPr>
              <w:t>Identity</w:t>
              <w:tab/>
              <w:t>6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548_1421710836">
            <w:r>
              <w:rPr>
                <w:rStyle w:val="IndexLink"/>
              </w:rPr>
              <w:t xml:space="preserve">5 </w:t>
            </w:r>
            <w:r>
              <w:rPr>
                <w:rStyle w:val="IndexLink"/>
              </w:rPr>
              <w:t xml:space="preserve">지원 </w:t>
            </w:r>
            <w:r>
              <w:rPr>
                <w:rStyle w:val="IndexLink"/>
              </w:rPr>
              <w:t>DB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50_1421710836">
            <w:r>
              <w:rPr>
                <w:rStyle w:val="IndexLink"/>
              </w:rPr>
              <w:t>DB3</w:t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552_1421710836">
            <w:r>
              <w:rPr>
                <w:rStyle w:val="IndexLink"/>
              </w:rPr>
              <w:t>6 Topology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Optionality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54_1421710836">
            <w:r>
              <w:rPr>
                <w:rStyle w:val="IndexLink"/>
              </w:rPr>
              <w:t xml:space="preserve">Topology </w:t>
            </w:r>
            <w:r>
              <w:rPr>
                <w:rStyle w:val="IndexLink"/>
              </w:rPr>
              <w:t>선택 기준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556_1421710836">
            <w:r>
              <w:rPr>
                <w:rStyle w:val="IndexLink"/>
              </w:rPr>
              <w:t xml:space="preserve">7 Result·Error·Transaction </w:t>
            </w:r>
            <w:r>
              <w:rPr>
                <w:rStyle w:val="IndexLink"/>
              </w:rPr>
              <w:t>계약</w:t>
            </w:r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58_1421710836">
            <w:r>
              <w:rPr>
                <w:rStyle w:val="IndexLink"/>
              </w:rPr>
              <w:t>Result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HTTP Mapping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60_1421710836">
            <w:r>
              <w:rPr>
                <w:rStyle w:val="IndexLink"/>
              </w:rPr>
              <w:t>Idempotency·Retry·Reconcile</w:t>
              <w:tab/>
              <w:t>8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562_1421710836">
            <w:r>
              <w:rPr>
                <w:rStyle w:val="IndexLink"/>
              </w:rPr>
              <w:t xml:space="preserve">8 Messaging·Cache·File·Security </w:t>
            </w:r>
            <w:r>
              <w:rPr>
                <w:rStyle w:val="IndexLink"/>
              </w:rPr>
              <w:t>계약</w:t>
            </w:r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64_1421710836">
            <w:r>
              <w:rPr>
                <w:rStyle w:val="IndexLink"/>
              </w:rPr>
              <w:t>Messaging·Notification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66_1421710836">
            <w:r>
              <w:rPr>
                <w:rStyle w:val="IndexLink"/>
              </w:rPr>
              <w:t>Cache·File·Object Storage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68_1421710836">
            <w:r>
              <w:rPr>
                <w:rStyle w:val="IndexLink"/>
              </w:rPr>
              <w:t>Security·Approval·Audit</w:t>
              <w:tab/>
              <w:t>9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570_1421710836">
            <w:r>
              <w:rPr>
                <w:rStyle w:val="IndexLink"/>
              </w:rPr>
              <w:t xml:space="preserve">9 Batch·Gateway·DB·Platform State </w:t>
            </w:r>
            <w:r>
              <w:rPr>
                <w:rStyle w:val="IndexLink"/>
              </w:rPr>
              <w:t>계약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72_1421710836">
            <w:r>
              <w:rPr>
                <w:rStyle w:val="IndexLink"/>
              </w:rPr>
              <w:t>Batch·Gateway</w:t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74_1421710836">
            <w:r>
              <w:rPr>
                <w:rStyle w:val="IndexLink"/>
              </w:rPr>
              <w:t>DB Lifecycle</w:t>
            </w:r>
            <w:r>
              <w:rPr>
                <w:rStyle w:val="IndexLink"/>
              </w:rPr>
              <w:t xml:space="preserve">과 </w:t>
            </w:r>
            <w:r>
              <w:rPr>
                <w:rStyle w:val="IndexLink"/>
              </w:rPr>
              <w:t>Platform State</w:t>
              <w:tab/>
              <w:t>9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576_1421710836">
            <w:r>
              <w:rPr>
                <w:rStyle w:val="IndexLink"/>
              </w:rPr>
              <w:t>10 Operations·OpenAPI·Compatibility·Acceptance</w:t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78_1421710836">
            <w:r>
              <w:rPr>
                <w:rStyle w:val="IndexLink"/>
              </w:rPr>
              <w:t>OpenAPI·Frontend</w:t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80_1421710836">
            <w:r>
              <w:rPr>
                <w:rStyle w:val="IndexLink"/>
              </w:rPr>
              <w:t>Contract Acceptance</w:t>
              <w:tab/>
              <w:t>10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0" w:after="80"/>
        <w:ind w:start="255"/>
        <w:rPr>
          <w:rFonts w:ascii="Noto Sans KR" w:hAnsi="Noto Sans KR" w:eastAsia="Noto Sans KR"/>
        </w:rPr>
      </w:pPr>
      <w:r>
        <w:rPr>
          <w:rFonts w:ascii="Noto Sans KR" w:hAnsi="Noto Sans KR" w:eastAsia="Noto Sans KR" w:cs="Noto Sans KR"/>
        </w:rPr>
      </w:r>
    </w:p>
    <w:p>
      <w:pPr>
        <w:pStyle w:val="Heading1"/>
        <w:keepNext w:val="true"/>
        <w:rPr/>
      </w:pPr>
      <w:bookmarkStart w:id="0" w:name="__RefHeading___Toc4532_1421710836"/>
      <w:bookmarkEnd w:id="0"/>
      <w:r>
        <w:rPr>
          <w:rFonts w:eastAsia="Noto Sans KR" w:cs="Noto Sans KR" w:ascii="Noto Sans KR" w:hAnsi="Noto Sans KR"/>
        </w:rPr>
        <w:t xml:space="preserve">1 </w:t>
      </w:r>
      <w:r>
        <w:rPr>
          <w:rFonts w:ascii="Noto Sans KR" w:hAnsi="Noto Sans KR" w:cs="Noto Sans KR" w:eastAsia="Noto Sans KR"/>
        </w:rPr>
        <w:t>제품 범위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CPF</w:t>
      </w:r>
      <w:r>
        <w:rPr>
          <w:rFonts w:ascii="Noto Sans KR" w:hAnsi="Noto Sans KR" w:cs="Noto Sans KR" w:eastAsia="Noto Sans KR"/>
        </w:rPr>
        <w:t xml:space="preserve">가 제공하는 </w:t>
      </w:r>
      <w:r>
        <w:rPr>
          <w:rFonts w:eastAsia="Noto Sans KR" w:cs="Noto Sans KR" w:ascii="Noto Sans KR" w:hAnsi="Noto Sans KR"/>
        </w:rPr>
        <w:t>Runtime/</w:t>
      </w:r>
      <w:r>
        <w:rPr>
          <w:rFonts w:ascii="Noto Sans KR" w:hAnsi="Noto Sans KR" w:cs="Noto Sans KR" w:eastAsia="Noto Sans KR"/>
        </w:rPr>
        <w:t>개발</w:t>
      </w:r>
      <w:r>
        <w:rPr>
          <w:rFonts w:eastAsia="Noto Sans KR" w:cs="Noto Sans KR" w:ascii="Noto Sans KR" w:hAnsi="Noto Sans KR"/>
        </w:rPr>
        <w:t>/</w:t>
      </w:r>
      <w:r>
        <w:rPr>
          <w:rFonts w:ascii="Noto Sans KR" w:hAnsi="Noto Sans KR" w:cs="Noto Sans KR" w:eastAsia="Noto Sans KR"/>
        </w:rPr>
        <w:t>운영 계약의 범위를 빠르게 확인합니다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" w:name="__RefHeading___Toc4534_1421710836"/>
      <w:bookmarkEnd w:id="1"/>
      <w:r>
        <w:rPr>
          <w:rFonts w:ascii="Noto Sans KR" w:hAnsi="Noto Sans KR" w:cs="Noto Sans KR" w:eastAsia="Noto Sans KR"/>
        </w:rPr>
        <w:t>제품 범위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1-1. </w:t>
      </w:r>
      <w:r>
        <w:rPr>
          <w:rFonts w:ascii="Noto Sans KR" w:hAnsi="Noto Sans KR" w:eastAsia="Noto Sans KR" w:cs="Noto Sans KR"/>
          <w:b/>
          <w:color w:val="17324D"/>
          <w:sz w:val="20"/>
        </w:rPr>
        <w:t>제품 범위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제품 범위의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688528"/>
        <w:gridCol w:w="8355902"/>
      </w:tblGrid>
      <w:tr>
        <w:trPr>
          <w:tblHeader w:val="true"/>
          <w:trHeight w:val="397" w:hRule="atLeast"/>
          <w:cantSplit w:val="true"/>
        </w:trPr>
        <w:tc>
          <w:tcPr>
            <w:tcW w:w="1688528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영역</w:t>
            </w:r>
          </w:p>
        </w:tc>
        <w:tc>
          <w:tcPr>
            <w:tcW w:w="835590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계약</w:t>
            </w:r>
          </w:p>
        </w:tc>
      </w:tr>
      <w:tr>
        <w:trPr>
          <w:trHeight w:val="351" w:hRule="atLeast"/>
          <w:cantSplit w:val="true"/>
        </w:trPr>
        <w:tc>
          <w:tcPr>
            <w:tcW w:w="168852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Online</w:t>
            </w:r>
          </w:p>
        </w:tc>
        <w:tc>
          <w:tcPr>
            <w:tcW w:w="835590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Web/Service/Persistence/Domain Invocation/Integration</w:t>
            </w:r>
          </w:p>
        </w:tc>
      </w:tr>
      <w:tr>
        <w:trPr>
          <w:trHeight w:val="351" w:hRule="atLeast"/>
          <w:cantSplit w:val="true"/>
        </w:trPr>
        <w:tc>
          <w:tcPr>
            <w:tcW w:w="168852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Reliability</w:t>
            </w:r>
          </w:p>
        </w:tc>
        <w:tc>
          <w:tcPr>
            <w:tcW w:w="835590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Idempotency/Retry/Timeout/UNKNOWN/Reconcile</w:t>
            </w:r>
          </w:p>
        </w:tc>
      </w:tr>
      <w:tr>
        <w:trPr>
          <w:trHeight w:val="351" w:hRule="atLeast"/>
          <w:cantSplit w:val="true"/>
        </w:trPr>
        <w:tc>
          <w:tcPr>
            <w:tcW w:w="168852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Async</w:t>
            </w:r>
          </w:p>
        </w:tc>
        <w:tc>
          <w:tcPr>
            <w:tcW w:w="835590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Messaging/Outbox/Inbox/DLQ/Replay</w:t>
            </w:r>
          </w:p>
        </w:tc>
      </w:tr>
      <w:tr>
        <w:trPr>
          <w:trHeight w:val="351" w:hRule="atLeast"/>
          <w:cantSplit w:val="true"/>
        </w:trPr>
        <w:tc>
          <w:tcPr>
            <w:tcW w:w="168852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</w:t>
            </w:r>
          </w:p>
        </w:tc>
        <w:tc>
          <w:tcPr>
            <w:tcW w:w="835590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Job/Step/Control/Ledger/Lease/Fencing/Checkpoint</w:t>
            </w:r>
          </w:p>
        </w:tc>
      </w:tr>
      <w:tr>
        <w:trPr>
          <w:trHeight w:val="351" w:hRule="atLeast"/>
          <w:cantSplit w:val="true"/>
        </w:trPr>
        <w:tc>
          <w:tcPr>
            <w:tcW w:w="168852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Data</w:t>
            </w:r>
          </w:p>
        </w:tc>
        <w:tc>
          <w:tcPr>
            <w:tcW w:w="835590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JDBC/MyBatis/JPA/Cache/DB3</w:t>
            </w:r>
          </w:p>
        </w:tc>
      </w:tr>
      <w:tr>
        <w:trPr>
          <w:trHeight w:val="351" w:hRule="atLeast"/>
          <w:cantSplit w:val="true"/>
        </w:trPr>
        <w:tc>
          <w:tcPr>
            <w:tcW w:w="168852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Security</w:t>
            </w:r>
          </w:p>
        </w:tc>
        <w:tc>
          <w:tcPr>
            <w:tcW w:w="835590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Permission/Approval/Audit/Masking</w:t>
            </w:r>
          </w:p>
        </w:tc>
      </w:tr>
      <w:tr>
        <w:trPr>
          <w:trHeight w:val="351" w:hRule="atLeast"/>
          <w:cantSplit w:val="true"/>
        </w:trPr>
        <w:tc>
          <w:tcPr>
            <w:tcW w:w="168852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Operations</w:t>
            </w:r>
          </w:p>
        </w:tc>
        <w:tc>
          <w:tcPr>
            <w:tcW w:w="835590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ADM/Trace/Health/Recovery/Deployment</w:t>
            </w:r>
          </w:p>
        </w:tc>
      </w:tr>
      <w:tr>
        <w:tc>
          <w:tcPr>
            <w:tcW w:type="dxa" w:w="1688528"/>
          </w:tcPr>
          <w:p>
            <w:r>
              <w:t>Business Admin</w:t>
            </w:r>
          </w:p>
        </w:tc>
        <w:tc>
          <w:tcPr>
            <w:tcW w:type="dxa" w:w="8355902"/>
          </w:tcPr>
          <w:p>
            <w:r>
              <w:t>cpf-backoffice/조직·권한·결재·업무 설정</w:t>
            </w:r>
          </w:p>
        </w:tc>
      </w:tr>
      <w:tr>
        <w:trPr>
          <w:trHeight w:val="351" w:hRule="atLeast"/>
          <w:cantSplit w:val="true"/>
        </w:trPr>
        <w:tc>
          <w:tcPr>
            <w:tcW w:w="1688528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Generator</w:t>
            </w:r>
          </w:p>
        </w:tc>
        <w:tc>
          <w:tcPr>
            <w:tcW w:w="835590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Domain/Starter/DB/OpenAPI/Sample</w:t>
            </w:r>
          </w:p>
        </w:tc>
      </w:tr>
    </w:tbl>
    <w:p>
      <w:pPr>
        <w:pStyle w:val="Heading1"/>
        <w:keepNext w:val="true"/>
        <w:rPr/>
      </w:pPr>
      <w:bookmarkStart w:id="2" w:name="__RefHeading___Toc4536_1421710836"/>
      <w:bookmarkEnd w:id="2"/>
      <w:r>
        <w:rPr>
          <w:rFonts w:eastAsia="Noto Sans KR" w:cs="Noto Sans KR" w:ascii="Noto Sans KR" w:hAnsi="Noto Sans KR"/>
        </w:rPr>
        <w:t xml:space="preserve">2 </w:t>
      </w:r>
      <w:r>
        <w:rPr>
          <w:rFonts w:ascii="Noto Sans KR" w:hAnsi="Noto Sans KR" w:cs="Noto Sans KR" w:eastAsia="Noto Sans KR"/>
        </w:rPr>
        <w:t xml:space="preserve">기술 </w:t>
      </w:r>
      <w:r>
        <w:rPr>
          <w:rFonts w:eastAsia="Noto Sans KR" w:cs="Noto Sans KR" w:ascii="Noto Sans KR" w:hAnsi="Noto Sans KR"/>
        </w:rPr>
        <w:t>Stack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실제 </w:t>
      </w:r>
      <w:r>
        <w:rPr>
          <w:rFonts w:eastAsia="Noto Sans KR" w:cs="Noto Sans KR" w:ascii="Noto Sans KR" w:hAnsi="Noto Sans KR"/>
        </w:rPr>
        <w:t>Source</w:t>
      </w:r>
      <w:r>
        <w:rPr>
          <w:rFonts w:ascii="Noto Sans KR" w:hAnsi="Noto Sans KR" w:cs="Noto Sans KR" w:eastAsia="Noto Sans KR"/>
        </w:rPr>
        <w:t xml:space="preserve">의 </w:t>
      </w:r>
      <w:r>
        <w:rPr>
          <w:rFonts w:eastAsia="Noto Sans KR" w:cs="Noto Sans KR" w:ascii="Noto Sans KR" w:hAnsi="Noto Sans KR"/>
        </w:rPr>
        <w:t>canonical stack properties</w:t>
      </w:r>
      <w:r>
        <w:rPr>
          <w:rFonts w:ascii="Noto Sans KR" w:hAnsi="Noto Sans KR" w:cs="Noto Sans KR" w:eastAsia="Noto Sans KR"/>
        </w:rPr>
        <w:t>를 기준으로 개발 환경을 맞춥니다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3" w:name="__RefHeading___Toc4538_1421710836"/>
      <w:bookmarkEnd w:id="3"/>
      <w:r>
        <w:rPr>
          <w:rFonts w:eastAsia="Noto Sans KR" w:cs="Noto Sans KR" w:ascii="Noto Sans KR" w:hAnsi="Noto Sans KR"/>
        </w:rPr>
        <w:t>Canonical Stack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>2-1. Canonical Stack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>Canonical Stack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6804291"/>
        <w:gridCol w:w="3240139"/>
      </w:tblGrid>
      <w:tr>
        <w:trPr>
          <w:tblHeader w:val="true"/>
          <w:trHeight w:val="397" w:hRule="atLeast"/>
          <w:cantSplit w:val="true"/>
        </w:trPr>
        <w:tc>
          <w:tcPr>
            <w:tcW w:w="6804291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항목</w:t>
            </w:r>
          </w:p>
        </w:tc>
        <w:tc>
          <w:tcPr>
            <w:tcW w:w="324013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버전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/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값</w:t>
            </w:r>
          </w:p>
        </w:tc>
      </w:tr>
      <w:tr>
        <w:trPr>
          <w:trHeight w:val="351" w:hRule="atLeast"/>
          <w:cantSplit w:val="true"/>
        </w:trPr>
        <w:tc>
          <w:tcPr>
            <w:tcW w:w="68042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Java</w:t>
            </w:r>
          </w:p>
        </w:tc>
        <w:tc>
          <w:tcPr>
            <w:tcW w:w="32401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25</w:t>
            </w:r>
          </w:p>
        </w:tc>
      </w:tr>
      <w:tr>
        <w:trPr>
          <w:trHeight w:val="351" w:hRule="atLeast"/>
          <w:cantSplit w:val="true"/>
        </w:trPr>
        <w:tc>
          <w:tcPr>
            <w:tcW w:w="68042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Gradle</w:t>
            </w:r>
          </w:p>
        </w:tc>
        <w:tc>
          <w:tcPr>
            <w:tcW w:w="32401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9.1.0</w:t>
            </w:r>
          </w:p>
        </w:tc>
      </w:tr>
      <w:tr>
        <w:trPr>
          <w:trHeight w:val="351" w:hRule="atLeast"/>
          <w:cantSplit w:val="true"/>
        </w:trPr>
        <w:tc>
          <w:tcPr>
            <w:tcW w:w="68042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Spring Boot</w:t>
            </w:r>
          </w:p>
        </w:tc>
        <w:tc>
          <w:tcPr>
            <w:tcW w:w="32401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4.1.0</w:t>
            </w:r>
          </w:p>
        </w:tc>
      </w:tr>
      <w:tr>
        <w:trPr>
          <w:trHeight w:val="351" w:hRule="atLeast"/>
          <w:cantSplit w:val="true"/>
        </w:trPr>
        <w:tc>
          <w:tcPr>
            <w:tcW w:w="68042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Spring Dependency Management</w:t>
            </w:r>
          </w:p>
        </w:tc>
        <w:tc>
          <w:tcPr>
            <w:tcW w:w="32401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1.1.7</w:t>
            </w:r>
          </w:p>
        </w:tc>
      </w:tr>
      <w:tr>
        <w:trPr>
          <w:trHeight w:val="351" w:hRule="atLeast"/>
          <w:cantSplit w:val="true"/>
        </w:trPr>
        <w:tc>
          <w:tcPr>
            <w:tcW w:w="68042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Spring Cloud</w:t>
            </w:r>
          </w:p>
        </w:tc>
        <w:tc>
          <w:tcPr>
            <w:tcW w:w="32401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2025.1.2</w:t>
            </w:r>
          </w:p>
        </w:tc>
      </w:tr>
      <w:tr>
        <w:trPr>
          <w:trHeight w:val="351" w:hRule="atLeast"/>
          <w:cantSplit w:val="true"/>
        </w:trPr>
        <w:tc>
          <w:tcPr>
            <w:tcW w:w="68042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Spring Batch</w:t>
            </w:r>
          </w:p>
        </w:tc>
        <w:tc>
          <w:tcPr>
            <w:tcW w:w="32401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6.0.4</w:t>
            </w:r>
          </w:p>
        </w:tc>
      </w:tr>
      <w:tr>
        <w:trPr>
          <w:trHeight w:val="351" w:hRule="atLeast"/>
          <w:cantSplit w:val="true"/>
        </w:trPr>
        <w:tc>
          <w:tcPr>
            <w:tcW w:w="68042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MyBatis</w:t>
            </w:r>
          </w:p>
        </w:tc>
        <w:tc>
          <w:tcPr>
            <w:tcW w:w="32401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3.5.19</w:t>
            </w:r>
          </w:p>
        </w:tc>
      </w:tr>
      <w:tr>
        <w:trPr>
          <w:trHeight w:val="351" w:hRule="atLeast"/>
          <w:cantSplit w:val="true"/>
        </w:trPr>
        <w:tc>
          <w:tcPr>
            <w:tcW w:w="68042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springdoc</w:t>
            </w:r>
          </w:p>
        </w:tc>
        <w:tc>
          <w:tcPr>
            <w:tcW w:w="32401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3.0.3</w:t>
            </w:r>
          </w:p>
        </w:tc>
      </w:tr>
      <w:tr>
        <w:trPr>
          <w:trHeight w:val="351" w:hRule="atLeast"/>
          <w:cantSplit w:val="true"/>
        </w:trPr>
        <w:tc>
          <w:tcPr>
            <w:tcW w:w="6804291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Servlet Spec</w:t>
            </w:r>
          </w:p>
        </w:tc>
        <w:tc>
          <w:tcPr>
            <w:tcW w:w="324013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6.1</w:t>
            </w:r>
          </w:p>
        </w:tc>
      </w:tr>
    </w:tbl>
    <w:p>
      <w:pPr>
        <w:pStyle w:val="CPFSource"/>
        <w:spacing w:before="60" w:after="160"/>
        <w:ind w:start="255" w:end="113"/>
        <w:rPr/>
      </w:pPr>
      <w:r>
        <w:rPr>
          <w:rFonts w:eastAsia="Noto Sans KR" w:cs="Noto Sans KR" w:ascii="Noto Sans KR" w:hAnsi="Noto Sans KR"/>
          <w:b w:val="false"/>
          <w:color w:val="5E7186"/>
          <w:sz w:val="18"/>
        </w:rPr>
        <w:t>Source: gradle/cpf-stack.properties</w:t>
      </w:r>
    </w:p>
    <w:p>
      <w:pPr>
        <w:pStyle w:val="Heading1"/>
        <w:keepNext w:val="true"/>
        <w:rPr/>
      </w:pPr>
      <w:bookmarkStart w:id="4" w:name="__RefHeading___Toc4540_1421710836"/>
      <w:bookmarkEnd w:id="4"/>
      <w:r>
        <w:rPr>
          <w:rFonts w:eastAsia="Noto Sans KR" w:cs="Noto Sans KR" w:ascii="Noto Sans KR" w:hAnsi="Noto Sans KR"/>
        </w:rPr>
        <w:t>3 Public Contract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일반 업무 개발자가 의존할 대표 </w:t>
      </w:r>
      <w:r>
        <w:rPr>
          <w:rFonts w:eastAsia="Noto Sans KR" w:cs="Noto Sans KR" w:ascii="Noto Sans KR" w:hAnsi="Noto Sans KR"/>
        </w:rPr>
        <w:t>API</w:t>
      </w:r>
      <w:r>
        <w:rPr>
          <w:rFonts w:ascii="Noto Sans KR" w:hAnsi="Noto Sans KR" w:cs="Noto Sans KR" w:eastAsia="Noto Sans KR"/>
        </w:rPr>
        <w:t>와 경계를 요약합니다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5" w:name="__RefHeading___Toc4542_1421710836"/>
      <w:bookmarkEnd w:id="5"/>
      <w:r>
        <w:rPr>
          <w:rFonts w:ascii="Noto Sans KR" w:hAnsi="Noto Sans KR" w:cs="Noto Sans KR" w:eastAsia="Noto Sans KR"/>
        </w:rPr>
        <w:t xml:space="preserve">대표 </w:t>
      </w:r>
      <w:r>
        <w:rPr>
          <w:rFonts w:eastAsia="Noto Sans KR" w:cs="Noto Sans KR" w:ascii="Noto Sans KR" w:hAnsi="Noto Sans KR"/>
        </w:rPr>
        <w:t>Public Contract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3-1. </w:t>
      </w:r>
      <w:r>
        <w:rPr>
          <w:rFonts w:ascii="Noto Sans KR" w:hAnsi="Noto Sans KR" w:eastAsia="Noto Sans KR" w:cs="Noto Sans KR"/>
          <w:b/>
          <w:color w:val="17324D"/>
          <w:sz w:val="20"/>
        </w:rPr>
        <w:t xml:space="preserve">대표 </w:t>
      </w:r>
      <w:r>
        <w:rPr>
          <w:rFonts w:eastAsia="Noto Sans KR" w:ascii="Noto Sans KR" w:hAnsi="Noto Sans KR" w:cs="Noto Sans KR"/>
          <w:b/>
          <w:color w:val="17324D"/>
          <w:sz w:val="20"/>
        </w:rPr>
        <w:t>Public Contract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 xml:space="preserve">대표 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Public Contract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641204"/>
        <w:gridCol w:w="6487042"/>
        <w:gridCol w:w="1916184"/>
      </w:tblGrid>
      <w:tr>
        <w:trPr>
          <w:tblHeader w:val="true"/>
          <w:trHeight w:val="397" w:hRule="atLeast"/>
          <w:cantSplit w:val="true"/>
        </w:trPr>
        <w:tc>
          <w:tcPr>
            <w:tcW w:w="1641204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분류</w:t>
            </w:r>
          </w:p>
        </w:tc>
        <w:tc>
          <w:tcPr>
            <w:tcW w:w="648704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API/Annotation</w:t>
            </w:r>
          </w:p>
        </w:tc>
        <w:tc>
          <w:tcPr>
            <w:tcW w:w="191618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책임</w:t>
            </w:r>
          </w:p>
        </w:tc>
      </w:tr>
      <w:tr>
        <w:trPr>
          <w:trHeight w:val="351" w:hRule="atLeast"/>
          <w:cantSplit w:val="true"/>
        </w:trPr>
        <w:tc>
          <w:tcPr>
            <w:tcW w:w="16412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Web</w:t>
            </w:r>
          </w:p>
        </w:tc>
        <w:tc>
          <w:tcPr>
            <w:tcW w:w="6487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@CpfController</w:t>
            </w:r>
          </w:p>
        </w:tc>
        <w:tc>
          <w:tcPr>
            <w:tcW w:w="19161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HTTP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진입</w:t>
            </w:r>
          </w:p>
        </w:tc>
      </w:tr>
      <w:tr>
        <w:trPr>
          <w:trHeight w:val="351" w:hRule="atLeast"/>
          <w:cantSplit w:val="true"/>
        </w:trPr>
        <w:tc>
          <w:tcPr>
            <w:tcW w:w="16412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Service</w:t>
            </w:r>
          </w:p>
        </w:tc>
        <w:tc>
          <w:tcPr>
            <w:tcW w:w="6487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@CpfService</w:t>
            </w:r>
          </w:p>
        </w:tc>
        <w:tc>
          <w:tcPr>
            <w:tcW w:w="19161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규칙</w:t>
            </w:r>
          </w:p>
        </w:tc>
      </w:tr>
      <w:tr>
        <w:trPr>
          <w:trHeight w:val="351" w:hRule="atLeast"/>
          <w:cantSplit w:val="true"/>
        </w:trPr>
        <w:tc>
          <w:tcPr>
            <w:tcW w:w="16412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Persistence</w:t>
            </w:r>
          </w:p>
        </w:tc>
        <w:tc>
          <w:tcPr>
            <w:tcW w:w="6487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@CpfRepository / @CpfTransactional / CpfCrudRepository</w:t>
            </w:r>
          </w:p>
        </w:tc>
        <w:tc>
          <w:tcPr>
            <w:tcW w:w="19161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Local DB</w:t>
            </w:r>
          </w:p>
        </w:tc>
      </w:tr>
      <w:tr>
        <w:trPr>
          <w:trHeight w:val="351" w:hRule="atLeast"/>
          <w:cantSplit w:val="true"/>
        </w:trPr>
        <w:tc>
          <w:tcPr>
            <w:tcW w:w="16412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Domain</w:t>
            </w:r>
          </w:p>
        </w:tc>
        <w:tc>
          <w:tcPr>
            <w:tcW w:w="6487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CpfDomainClient / @CpfOnlineTransaction</w:t>
            </w:r>
          </w:p>
        </w:tc>
        <w:tc>
          <w:tcPr>
            <w:tcW w:w="19161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CPF-owned Domain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호출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/Operation</w:t>
            </w:r>
          </w:p>
        </w:tc>
      </w:tr>
      <w:tr>
        <w:trPr>
          <w:trHeight w:val="351" w:hRule="atLeast"/>
          <w:cantSplit w:val="true"/>
        </w:trPr>
        <w:tc>
          <w:tcPr>
            <w:tcW w:w="16412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Integration</w:t>
            </w:r>
          </w:p>
        </w:tc>
        <w:tc>
          <w:tcPr>
            <w:tcW w:w="6487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@CpfClient / @CpfTimeout / @CpfRetry</w:t>
            </w:r>
          </w:p>
        </w:tc>
        <w:tc>
          <w:tcPr>
            <w:tcW w:w="19161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외부 연계</w:t>
            </w:r>
          </w:p>
        </w:tc>
      </w:tr>
      <w:tr>
        <w:trPr>
          <w:trHeight w:val="351" w:hRule="atLeast"/>
          <w:cantSplit w:val="true"/>
        </w:trPr>
        <w:tc>
          <w:tcPr>
            <w:tcW w:w="16412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Reliability</w:t>
            </w:r>
          </w:p>
        </w:tc>
        <w:tc>
          <w:tcPr>
            <w:tcW w:w="6487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@CpfIdempotent / CpfResult</w:t>
            </w:r>
          </w:p>
        </w:tc>
        <w:tc>
          <w:tcPr>
            <w:tcW w:w="19161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중복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/UNKNOWN</w:t>
            </w:r>
          </w:p>
        </w:tc>
      </w:tr>
      <w:tr>
        <w:trPr>
          <w:trHeight w:val="351" w:hRule="atLeast"/>
          <w:cantSplit w:val="true"/>
        </w:trPr>
        <w:tc>
          <w:tcPr>
            <w:tcW w:w="16412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Security</w:t>
            </w:r>
          </w:p>
        </w:tc>
        <w:tc>
          <w:tcPr>
            <w:tcW w:w="6487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@CpfPermission / @CpfApprovalRequired / @CpfAudit</w:t>
            </w:r>
          </w:p>
        </w:tc>
        <w:tc>
          <w:tcPr>
            <w:tcW w:w="19161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승인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감사</w:t>
            </w:r>
          </w:p>
        </w:tc>
      </w:tr>
      <w:tr>
        <w:trPr>
          <w:trHeight w:val="351" w:hRule="atLeast"/>
          <w:cantSplit w:val="true"/>
        </w:trPr>
        <w:tc>
          <w:tcPr>
            <w:tcW w:w="16412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Async</w:t>
            </w:r>
          </w:p>
        </w:tc>
        <w:tc>
          <w:tcPr>
            <w:tcW w:w="6487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@CpfMessageListener / CpfMessagingTemplate</w:t>
            </w:r>
          </w:p>
        </w:tc>
        <w:tc>
          <w:tcPr>
            <w:tcW w:w="19161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메시징</w:t>
            </w:r>
          </w:p>
        </w:tc>
      </w:tr>
      <w:tr>
        <w:trPr>
          <w:trHeight w:val="351" w:hRule="atLeast"/>
          <w:cantSplit w:val="true"/>
        </w:trPr>
        <w:tc>
          <w:tcPr>
            <w:tcW w:w="1641204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</w:t>
            </w:r>
          </w:p>
        </w:tc>
        <w:tc>
          <w:tcPr>
            <w:tcW w:w="648704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@CpfBatchJob / @CpfBatchStep</w:t>
            </w:r>
          </w:p>
        </w:tc>
        <w:tc>
          <w:tcPr>
            <w:tcW w:w="191618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</w:t>
            </w:r>
          </w:p>
        </w:tc>
      </w:tr>
    </w:tbl>
    <w:p>
      <w:pPr>
        <w:pStyle w:val="Heading1"/>
        <w:keepNext w:val="true"/>
        <w:rPr/>
      </w:pPr>
      <w:bookmarkStart w:id="6" w:name="__RefHeading___Toc4544_1421710836"/>
      <w:bookmarkEnd w:id="6"/>
      <w:r>
        <w:rPr>
          <w:rFonts w:eastAsia="Noto Sans KR" w:cs="Noto Sans KR" w:ascii="Noto Sans KR" w:hAnsi="Noto Sans KR"/>
        </w:rPr>
        <w:t>4 Context · Identity · Operation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거래 식별과 </w:t>
      </w:r>
      <w:r>
        <w:rPr>
          <w:rFonts w:eastAsia="Noto Sans KR" w:cs="Noto Sans KR" w:ascii="Noto Sans KR" w:hAnsi="Noto Sans KR"/>
        </w:rPr>
        <w:t xml:space="preserve">Runtime </w:t>
      </w:r>
      <w:r>
        <w:rPr>
          <w:rFonts w:ascii="Noto Sans KR" w:hAnsi="Noto Sans KR" w:cs="Noto Sans KR" w:eastAsia="Noto Sans KR"/>
        </w:rPr>
        <w:t>식별을 혼동하지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7" w:name="__RefHeading___Toc4546_1421710836"/>
      <w:bookmarkEnd w:id="7"/>
      <w:r>
        <w:rPr>
          <w:rFonts w:eastAsia="Noto Sans KR" w:cs="Noto Sans KR" w:ascii="Noto Sans KR" w:hAnsi="Noto Sans KR"/>
        </w:rPr>
        <w:t>Identity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>4-1. Identity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>Identity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335067"/>
        <w:gridCol w:w="3118043"/>
        <w:gridCol w:w="4591320"/>
      </w:tblGrid>
      <w:tr>
        <w:trPr>
          <w:tblHeader w:val="true"/>
          <w:trHeight w:val="397" w:hRule="atLeast"/>
          <w:cantSplit w:val="true"/>
        </w:trPr>
        <w:tc>
          <w:tcPr>
            <w:tcW w:w="2335067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항목</w:t>
            </w:r>
          </w:p>
        </w:tc>
        <w:tc>
          <w:tcPr>
            <w:tcW w:w="311804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정의</w:t>
            </w:r>
          </w:p>
        </w:tc>
        <w:tc>
          <w:tcPr>
            <w:tcW w:w="4591320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전파</w:t>
            </w:r>
          </w:p>
        </w:tc>
      </w:tr>
      <w:tr>
        <w:trPr>
          <w:trHeight w:val="351" w:hRule="atLeast"/>
          <w:cantSplit w:val="true"/>
        </w:trPr>
        <w:tc>
          <w:tcPr>
            <w:tcW w:w="23350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transactionId</w:t>
            </w:r>
          </w:p>
        </w:tc>
        <w:tc>
          <w:tcPr>
            <w:tcW w:w="311804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거래 식별</w:t>
            </w:r>
          </w:p>
        </w:tc>
        <w:tc>
          <w:tcPr>
            <w:tcW w:w="459132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System6</w:t>
            </w:r>
          </w:p>
        </w:tc>
      </w:tr>
      <w:tr>
        <w:trPr>
          <w:trHeight w:val="351" w:hRule="atLeast"/>
          <w:cantSplit w:val="true"/>
        </w:trPr>
        <w:tc>
          <w:tcPr>
            <w:tcW w:w="23350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operationId</w:t>
            </w:r>
          </w:p>
        </w:tc>
        <w:tc>
          <w:tcPr>
            <w:tcW w:w="311804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Operation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단일 정본</w:t>
            </w:r>
          </w:p>
        </w:tc>
        <w:tc>
          <w:tcPr>
            <w:tcW w:w="459132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Annotation/OpenAPI/Header/Client/ADM/Log</w:t>
            </w:r>
          </w:p>
        </w:tc>
      </w:tr>
      <w:tr>
        <w:trPr>
          <w:trHeight w:val="351" w:hRule="atLeast"/>
          <w:cantSplit w:val="true"/>
        </w:trPr>
        <w:tc>
          <w:tcPr>
            <w:tcW w:w="23350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instanceId</w:t>
            </w:r>
          </w:p>
        </w:tc>
        <w:tc>
          <w:tcPr>
            <w:tcW w:w="311804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현재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Runtime Instance</w:t>
            </w:r>
          </w:p>
        </w:tc>
        <w:tc>
          <w:tcPr>
            <w:tcW w:w="459132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bootstrap 1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회 확정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, Header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미포함</w:t>
            </w:r>
          </w:p>
        </w:tc>
      </w:tr>
      <w:tr>
        <w:trPr>
          <w:trHeight w:val="351" w:hRule="atLeast"/>
          <w:cantSplit w:val="true"/>
        </w:trPr>
        <w:tc>
          <w:tcPr>
            <w:tcW w:w="23350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systemCode</w:t>
            </w:r>
          </w:p>
        </w:tc>
        <w:tc>
          <w:tcPr>
            <w:tcW w:w="311804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현재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</w:t>
            </w:r>
          </w:p>
        </w:tc>
        <w:tc>
          <w:tcPr>
            <w:tcW w:w="459132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System6 hop</w:t>
            </w:r>
          </w:p>
        </w:tc>
      </w:tr>
      <w:tr>
        <w:trPr>
          <w:trHeight w:val="351" w:hRule="atLeast"/>
          <w:cantSplit w:val="true"/>
        </w:trPr>
        <w:tc>
          <w:tcPr>
            <w:tcW w:w="2335067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originalSystemCode</w:t>
            </w:r>
          </w:p>
        </w:tc>
        <w:tc>
          <w:tcPr>
            <w:tcW w:w="311804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최초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</w:t>
            </w:r>
          </w:p>
        </w:tc>
        <w:tc>
          <w:tcPr>
            <w:tcW w:w="4591320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불변</w:t>
            </w:r>
          </w:p>
        </w:tc>
      </w:tr>
    </w:tbl>
    <w:p>
      <w:pPr>
        <w:pStyle w:val="Heading1"/>
        <w:keepNext w:val="true"/>
        <w:pageBreakBefore/>
        <w:rPr/>
      </w:pPr>
      <w:bookmarkStart w:id="8" w:name="__RefHeading___Toc4548_1421710836"/>
      <w:bookmarkEnd w:id="8"/>
      <w:r>
        <w:rPr>
          <w:rFonts w:eastAsia="Noto Sans KR" w:cs="Noto Sans KR" w:ascii="Noto Sans KR" w:hAnsi="Noto Sans KR"/>
        </w:rPr>
        <w:t xml:space="preserve">5 </w:t>
      </w:r>
      <w:r>
        <w:rPr>
          <w:rFonts w:ascii="Noto Sans KR" w:hAnsi="Noto Sans KR" w:cs="Noto Sans KR" w:eastAsia="Noto Sans KR"/>
        </w:rPr>
        <w:t xml:space="preserve">지원 </w:t>
      </w:r>
      <w:r>
        <w:rPr>
          <w:rFonts w:eastAsia="Noto Sans KR" w:cs="Noto Sans KR" w:ascii="Noto Sans KR" w:hAnsi="Noto Sans KR"/>
        </w:rPr>
        <w:t>DB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공식 </w:t>
      </w:r>
      <w:r>
        <w:rPr>
          <w:rFonts w:eastAsia="Noto Sans KR" w:cs="Noto Sans KR" w:ascii="Noto Sans KR" w:hAnsi="Noto Sans KR"/>
        </w:rPr>
        <w:t>DB Vendor</w:t>
      </w:r>
      <w:r>
        <w:rPr>
          <w:rFonts w:ascii="Noto Sans KR" w:hAnsi="Noto Sans KR" w:cs="Noto Sans KR" w:eastAsia="Noto Sans KR"/>
        </w:rPr>
        <w:t>는 세 종류뿐입니다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9" w:name="__RefHeading___Toc4550_1421710836"/>
      <w:bookmarkEnd w:id="9"/>
      <w:r>
        <w:rPr>
          <w:rFonts w:eastAsia="Noto Sans KR" w:cs="Noto Sans KR" w:ascii="Noto Sans KR" w:hAnsi="Noto Sans KR"/>
        </w:rPr>
        <w:t>DB3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>5-1. DB3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>DB3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6223254"/>
        <w:gridCol w:w="3821176"/>
      </w:tblGrid>
      <w:tr>
        <w:trPr>
          <w:tblHeader w:val="true"/>
          <w:trHeight w:val="397" w:hRule="atLeast"/>
          <w:cantSplit w:val="true"/>
        </w:trPr>
        <w:tc>
          <w:tcPr>
            <w:tcW w:w="6223254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Vendor</w:t>
            </w:r>
          </w:p>
        </w:tc>
        <w:tc>
          <w:tcPr>
            <w:tcW w:w="382117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상태</w:t>
            </w:r>
          </w:p>
        </w:tc>
      </w:tr>
      <w:tr>
        <w:trPr>
          <w:trHeight w:val="351" w:hRule="atLeast"/>
          <w:cantSplit w:val="true"/>
        </w:trPr>
        <w:tc>
          <w:tcPr>
            <w:tcW w:w="622325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Oracle</w:t>
            </w:r>
          </w:p>
        </w:tc>
        <w:tc>
          <w:tcPr>
            <w:tcW w:w="38211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공식</w:t>
            </w:r>
          </w:p>
        </w:tc>
      </w:tr>
      <w:tr>
        <w:trPr>
          <w:trHeight w:val="351" w:hRule="atLeast"/>
          <w:cantSplit w:val="true"/>
        </w:trPr>
        <w:tc>
          <w:tcPr>
            <w:tcW w:w="622325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PostgreSQL</w:t>
            </w:r>
          </w:p>
        </w:tc>
        <w:tc>
          <w:tcPr>
            <w:tcW w:w="38211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공식</w:t>
            </w:r>
          </w:p>
        </w:tc>
      </w:tr>
      <w:tr>
        <w:trPr>
          <w:trHeight w:val="351" w:hRule="atLeast"/>
          <w:cantSplit w:val="true"/>
        </w:trPr>
        <w:tc>
          <w:tcPr>
            <w:tcW w:w="6223254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MariaDB</w:t>
            </w:r>
          </w:p>
        </w:tc>
        <w:tc>
          <w:tcPr>
            <w:tcW w:w="382117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공식</w:t>
            </w:r>
          </w:p>
        </w:tc>
      </w:tr>
    </w:tbl>
    <w:p>
      <w:pPr>
        <w:pStyle w:val="CPFCallout"/>
        <w:pBdr>
          <w:left w:val="single" w:sz="18" w:space="8" w:color="4F46E5"/>
        </w:pBdr>
        <w:shd w:fill="F7FAFD"/>
        <w:spacing w:before="80" w:after="140"/>
        <w:ind w:start="255" w:end="113"/>
        <w:rPr/>
      </w:pPr>
      <w:r>
        <w:rPr>
          <w:rFonts w:ascii="Noto Sans KR" w:hAnsi="Noto Sans KR" w:cs="Noto Sans KR" w:eastAsia="Noto Sans KR"/>
          <w:b/>
          <w:color w:val="4F46E5"/>
        </w:rPr>
        <w:t xml:space="preserve">제외  </w:t>
      </w:r>
      <w:r>
        <w:rPr>
          <w:rFonts w:eastAsia="Noto Sans KR" w:cs="Noto Sans KR" w:ascii="Noto Sans KR" w:hAnsi="Noto Sans KR"/>
        </w:rPr>
        <w:t>MySQL·MSSQL·H2</w:t>
      </w:r>
      <w:r>
        <w:rPr>
          <w:rFonts w:ascii="Noto Sans KR" w:hAnsi="Noto Sans KR" w:cs="Noto Sans KR" w:eastAsia="Noto Sans KR"/>
        </w:rPr>
        <w:t xml:space="preserve">를 공식 지원 </w:t>
      </w:r>
      <w:r>
        <w:rPr>
          <w:rFonts w:eastAsia="Noto Sans KR" w:cs="Noto Sans KR" w:ascii="Noto Sans KR" w:hAnsi="Noto Sans KR"/>
        </w:rPr>
        <w:t>Vendor</w:t>
      </w:r>
      <w:r>
        <w:rPr>
          <w:rFonts w:ascii="Noto Sans KR" w:hAnsi="Noto Sans KR" w:cs="Noto Sans KR" w:eastAsia="Noto Sans KR"/>
        </w:rPr>
        <w:t xml:space="preserve">나 </w:t>
      </w:r>
      <w:r>
        <w:rPr>
          <w:rFonts w:eastAsia="Noto Sans KR" w:cs="Noto Sans KR" w:ascii="Noto Sans KR" w:hAnsi="Noto Sans KR"/>
        </w:rPr>
        <w:t xml:space="preserve">Evidence </w:t>
      </w:r>
      <w:r>
        <w:rPr>
          <w:rFonts w:ascii="Noto Sans KR" w:hAnsi="Noto Sans KR" w:cs="Noto Sans KR" w:eastAsia="Noto Sans KR"/>
        </w:rPr>
        <w:t>기준으로 사용하지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1"/>
        <w:keepNext w:val="true"/>
        <w:pageBreakBefore/>
        <w:spacing w:before="320" w:after="120"/>
        <w:rPr/>
      </w:pPr>
      <w:bookmarkStart w:id="10" w:name="__RefHeading___Toc4552_1421710836"/>
      <w:bookmarkEnd w:id="10"/>
      <w:r>
        <w:rPr>
          <w:rFonts w:eastAsia="Noto Sans KR" w:cs="Noto Sans KR" w:ascii="Noto Sans KR" w:hAnsi="Noto Sans KR"/>
        </w:rPr>
        <w:t>6 Topology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Optionality</w:t>
      </w:r>
    </w:p>
    <w:p>
      <w:pPr>
        <w:pStyle w:val="CPFSectionLead"/>
        <w:pBdr>
          <w:left w:val="single" w:sz="16" w:space="7" w:color="8AA4BE"/>
        </w:pBdr>
        <w:shd w:fill="F3F7FA"/>
        <w:spacing w:before="20" w:after="80"/>
        <w:ind w:start="255" w:end="113"/>
        <w:rPr/>
      </w:pPr>
      <w:r>
        <w:rPr>
          <w:rFonts w:ascii="Noto Sans KR" w:hAnsi="Noto Sans KR" w:cs="Noto Sans KR" w:eastAsia="Noto Sans KR"/>
        </w:rPr>
        <w:t xml:space="preserve">동일 </w:t>
      </w:r>
      <w:r>
        <w:rPr>
          <w:rFonts w:eastAsia="Noto Sans KR" w:cs="Noto Sans KR" w:ascii="Noto Sans KR" w:hAnsi="Noto Sans KR"/>
        </w:rPr>
        <w:t>JVM·</w:t>
      </w:r>
      <w:r>
        <w:rPr>
          <w:rFonts w:ascii="Noto Sans KR" w:hAnsi="Noto Sans KR" w:cs="Noto Sans KR" w:eastAsia="Noto Sans KR"/>
        </w:rPr>
        <w:t xml:space="preserve">분리 </w:t>
      </w:r>
      <w:r>
        <w:rPr>
          <w:rFonts w:eastAsia="Noto Sans KR" w:cs="Noto Sans KR" w:ascii="Noto Sans KR" w:hAnsi="Noto Sans KR"/>
        </w:rPr>
        <w:t>WAS·MSA</w:t>
      </w:r>
      <w:r>
        <w:rPr>
          <w:rFonts w:ascii="Noto Sans KR" w:hAnsi="Noto Sans KR" w:cs="Noto Sans KR" w:eastAsia="Noto Sans KR"/>
        </w:rPr>
        <w:t xml:space="preserve">에서 업무 계약은 유지하고 </w:t>
      </w:r>
      <w:r>
        <w:rPr>
          <w:rFonts w:eastAsia="Noto Sans KR" w:cs="Noto Sans KR" w:ascii="Noto Sans KR" w:hAnsi="Noto Sans KR"/>
        </w:rPr>
        <w:t>Transport</w:t>
      </w:r>
      <w:r>
        <w:rPr>
          <w:rFonts w:ascii="Noto Sans KR" w:hAnsi="Noto Sans KR" w:cs="Noto Sans KR" w:eastAsia="Noto Sans KR"/>
        </w:rPr>
        <w:t>만 바뀝니다</w:t>
      </w:r>
      <w:r>
        <w:rPr>
          <w:rFonts w:eastAsia="Noto Sans KR" w:cs="Noto Sans KR" w:ascii="Noto Sans KR" w:hAnsi="Noto Sans KR"/>
        </w:rPr>
        <w:t>.</w:t>
      </w:r>
    </w:p>
    <w:p>
      <w:pPr>
        <w:pStyle w:val="CPFCaption"/>
        <w:spacing w:before="20" w:after="80"/>
        <w:ind w:start="255" w:end="255"/>
        <w:jc w:val="start"/>
        <w:rPr/>
      </w:pPr>
      <w:r>
        <w:t>Core/Public 계약을 유지하면서 Gateway·`cpf-backoffice-web` Channel과 `cpf-backoffice` Business Domain의 Runtime 역할을 분리합니다.</w:t>
      </w:r>
    </w:p>
    <w:p>
      <w:pPr>
        <w:pStyle w:val="Heading2"/>
        <w:rPr/>
      </w:pPr>
      <w:bookmarkStart w:id="11" w:name="__RefHeading___Toc4554_1421710836"/>
      <w:bookmarkEnd w:id="11"/>
      <w:r>
        <w:rPr>
          <w:rFonts w:eastAsia="Noto Sans KR" w:ascii="Noto Sans KR" w:hAnsi="Noto Sans KR" w:cs="Noto Sans KR"/>
        </w:rPr>
        <w:t xml:space="preserve">Topology </w:t>
      </w:r>
      <w:r>
        <w:rPr>
          <w:rFonts w:ascii="Noto Sans KR" w:hAnsi="Noto Sans KR" w:eastAsia="Noto Sans KR" w:cs="Noto Sans KR"/>
        </w:rPr>
        <w:t>선택 기준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6-1. Topology </w:t>
      </w:r>
      <w:r>
        <w:rPr>
          <w:rFonts w:ascii="Noto Sans KR" w:hAnsi="Noto Sans KR" w:eastAsia="Noto Sans KR" w:cs="Noto Sans KR"/>
          <w:b/>
          <w:color w:val="17324D"/>
          <w:sz w:val="20"/>
        </w:rPr>
        <w:t>선택 기준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Topology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선택 기준의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958701"/>
        <w:gridCol w:w="3103959"/>
        <w:gridCol w:w="2532364"/>
        <w:gridCol w:w="3449406"/>
      </w:tblGrid>
      <w:tr>
        <w:trPr>
          <w:tblHeader w:val="true"/>
          <w:cantSplit w:val="true"/>
        </w:trPr>
        <w:tc>
          <w:tcPr>
            <w:tcW w:w="958701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상황</w:t>
            </w:r>
          </w:p>
        </w:tc>
        <w:tc>
          <w:tcPr>
            <w:tcW w:w="310395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호출</w:t>
            </w:r>
            <w:r>
              <w:rPr>
                <w:rFonts w:eastAsia="Noto Sans KR" w:ascii="Noto Sans KR" w:hAnsi="Noto Sans KR" w:cs="Noto Sans KR"/>
                <w:b/>
                <w:sz w:val="19"/>
                <w:color w:val="FFFFFF"/>
              </w:rPr>
              <w:t>/</w:t>
            </w: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진입 경계</w:t>
            </w:r>
          </w:p>
        </w:tc>
        <w:tc>
          <w:tcPr>
            <w:tcW w:w="253236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유지되는 계약</w:t>
            </w:r>
          </w:p>
        </w:tc>
        <w:tc>
          <w:tcPr>
            <w:tcW w:w="344940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선택 판단</w:t>
            </w:r>
          </w:p>
        </w:tc>
      </w:tr>
      <w:tr>
        <w:trPr>
          <w:cantSplit w:val="true"/>
        </w:trPr>
        <w:tc>
          <w:tcPr>
            <w:tcW w:w="95870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Same JVM</w:t>
            </w:r>
          </w:p>
        </w:tc>
        <w:tc>
          <w:tcPr>
            <w:tcW w:w="310395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Caller → in-process binding → Owner Domain</w:t>
            </w:r>
          </w:p>
        </w:tc>
        <w:tc>
          <w:tcPr>
            <w:tcW w:w="253236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Domain Operation·CpfContext</w:t>
            </w:r>
          </w:p>
        </w:tc>
        <w:tc>
          <w:tcPr>
            <w:tcW w:w="344940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 xml:space="preserve">self-HTTP·Gateway </w:t>
            </w: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>재경유 금지</w:t>
            </w:r>
          </w:p>
        </w:tc>
      </w:tr>
      <w:tr>
        <w:trPr>
          <w:cantSplit w:val="true"/>
        </w:trPr>
        <w:tc>
          <w:tcPr>
            <w:tcW w:w="95870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 xml:space="preserve">분리 </w:t>
            </w: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WAS/MSA</w:t>
            </w:r>
          </w:p>
        </w:tc>
        <w:tc>
          <w:tcPr>
            <w:tcW w:w="310395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Registry/Transport → Owner Domain</w:t>
            </w:r>
          </w:p>
        </w:tc>
        <w:tc>
          <w:tcPr>
            <w:tcW w:w="253236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Domain Operation·System6·</w:t>
            </w: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>결과 상태</w:t>
            </w:r>
          </w:p>
        </w:tc>
        <w:tc>
          <w:tcPr>
            <w:tcW w:w="344940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>배포 위치만 바꾸고 업무 계약은 유지</w:t>
            </w:r>
          </w:p>
        </w:tc>
      </w:tr>
      <w:tr>
        <w:trPr>
          <w:cantSplit w:val="true"/>
        </w:trPr>
        <w:tc>
          <w:tcPr>
            <w:tcW w:w="95870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 xml:space="preserve">외부 </w:t>
            </w: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Entry</w:t>
            </w:r>
          </w:p>
        </w:tc>
        <w:tc>
          <w:tcPr>
            <w:tcW w:w="310395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External → Gateway(</w:t>
            </w: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>선택</w:t>
            </w: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) → Target</w:t>
            </w:r>
          </w:p>
        </w:tc>
        <w:tc>
          <w:tcPr>
            <w:tcW w:w="253236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Edge Policy·Target Operation</w:t>
            </w:r>
          </w:p>
        </w:tc>
        <w:tc>
          <w:tcPr>
            <w:tcW w:w="344940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>인증</w:t>
            </w: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 xml:space="preserve">·Route·Rate Limit </w:t>
            </w: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 xml:space="preserve">등 </w:t>
            </w: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 xml:space="preserve">Edge </w:t>
            </w: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>정책이 필요할 때</w:t>
            </w:r>
          </w:p>
        </w:tc>
      </w:tr>
      <w:tr>
        <w:trPr>
          <w:cantSplit w:val="true"/>
        </w:trPr>
        <w:tc>
          <w:tcPr>
            <w:tcW w:w="958701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Backoffice Web/BFF</w:t>
            </w:r>
          </w:p>
        </w:tc>
        <w:tc>
          <w:tcPr>
            <w:tcW w:w="310395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Browser → cpf-backoffice-web → Gateway(선택) → cpf-backoffice</w:t>
            </w:r>
          </w:p>
        </w:tc>
        <w:tc>
          <w:tcPr>
            <w:tcW w:w="253236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Session/CSRF·Public HTTP·Generated Client</w:t>
            </w:r>
          </w:p>
        </w:tc>
        <w:tc>
          <w:tcPr>
            <w:tcW w:w="344940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DB 0, CPF Internal Java 0, Business Domain Java dependency 0</w:t>
            </w:r>
          </w:p>
        </w:tc>
      </w:tr>
      <w:tr>
        <w:tc>
          <w:tcPr>
            <w:tcW w:type="dxa" w:w="958701"/>
          </w:tcPr>
          <w:p>
            <w:r>
              <w:t>cpf-backoffice</w:t>
            </w:r>
          </w:p>
        </w:tc>
        <w:tc>
          <w:tcPr>
            <w:tcW w:type="dxa" w:w="3103959"/>
          </w:tcPr>
          <w:p>
            <w:r>
              <w:t>MBW → 타 Owner Domain Public Contract</w:t>
            </w:r>
          </w:p>
        </w:tc>
        <w:tc>
          <w:tcPr>
            <w:tcW w:type="dxa" w:w="2532364"/>
          </w:tcPr>
          <w:p>
            <w:r>
              <w:t>MBW Owner·Permission·Approval·Audit</w:t>
            </w:r>
          </w:p>
        </w:tc>
        <w:tc>
          <w:tcPr>
            <w:tcW w:type="dxa" w:w="3449406"/>
          </w:tcPr>
          <w:p>
            <w:r>
              <w:t>플랫폼 Control Plane 아님; 타 Domain DB/Repository 직접 접근 금지</w:t>
            </w:r>
          </w:p>
        </w:tc>
      </w:tr>
    </w:tbl>
    <w:p>
      <w:pPr>
        <w:pStyle w:val="CPFCallout"/>
        <w:pBdr>
          <w:left w:val="single" w:sz="16" w:space="7" w:color="4F46E5"/>
        </w:pBdr>
        <w:shd w:fill="F7FAFD"/>
        <w:spacing w:before="100" w:after="100"/>
        <w:ind w:start="255" w:end="113"/>
        <w:rPr/>
      </w:pPr>
      <w:r>
        <w:rPr>
          <w:rFonts w:ascii="Noto Sans KR" w:hAnsi="Noto Sans KR" w:eastAsia="Noto Sans KR" w:cs="Noto Sans KR"/>
        </w:rPr>
        <w:t xml:space="preserve">선택하지 않은 </w:t>
      </w:r>
      <w:r>
        <w:rPr>
          <w:rFonts w:eastAsia="Noto Sans KR" w:ascii="Noto Sans KR" w:hAnsi="Noto Sans KR" w:cs="Noto Sans KR"/>
        </w:rPr>
        <w:t>Optional Capability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Bean·Thread·SQL·Endpoint Side Effect</w:t>
      </w:r>
      <w:r>
        <w:rPr>
          <w:rFonts w:ascii="Noto Sans KR" w:hAnsi="Noto Sans KR" w:eastAsia="Noto Sans KR" w:cs="Noto Sans KR"/>
        </w:rPr>
        <w:t>를 남기지 않는 것이 기본 계약입니다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/>
        <w:rPr/>
      </w:pPr>
      <w:bookmarkStart w:id="12" w:name="__RefHeading___Toc4556_1421710836"/>
      <w:bookmarkEnd w:id="12"/>
      <w:r>
        <w:rPr>
          <w:rFonts w:ascii="Noto Sans KR" w:hAnsi="Noto Sans KR" w:eastAsia="Noto Sans KR" w:cs="Noto Sans KR"/>
        </w:rPr>
        <w:t xml:space="preserve">7 Result·Error·Transaction </w:t>
      </w:r>
      <w:r>
        <w:rPr>
          <w:rFonts w:ascii="Noto Sans KR" w:hAnsi="Noto Sans KR" w:eastAsia="Noto Sans KR" w:cs="Noto Sans KR"/>
        </w:rPr>
        <w:t>계약</w:t>
      </w:r>
    </w:p>
    <w:p>
      <w:pPr>
        <w:pStyle w:val="CPFSectionLead"/>
        <w:ind w:start="255"/>
        <w:rPr/>
      </w:pPr>
      <w:r>
        <w:rPr>
          <w:rFonts w:eastAsia="Noto Sans KR" w:ascii="Noto Sans KR" w:hAnsi="Noto Sans KR" w:cs="Noto Sans KR"/>
        </w:rPr>
        <w:t>Public Contract</w:t>
      </w:r>
      <w:r>
        <w:rPr>
          <w:rFonts w:ascii="Noto Sans KR" w:hAnsi="Noto Sans KR" w:eastAsia="Noto Sans KR" w:cs="Noto Sans KR"/>
        </w:rPr>
        <w:t>는 성공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>업무실패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>기술실패</w:t>
      </w:r>
      <w:r>
        <w:rPr>
          <w:rFonts w:eastAsia="Noto Sans KR" w:ascii="Noto Sans KR" w:hAnsi="Noto Sans KR" w:cs="Noto Sans KR"/>
        </w:rPr>
        <w:t>/UNKNOWN</w:t>
      </w:r>
      <w:r>
        <w:rPr>
          <w:rFonts w:ascii="Noto Sans KR" w:hAnsi="Noto Sans KR" w:eastAsia="Noto Sans KR" w:cs="Noto Sans KR"/>
        </w:rPr>
        <w:t xml:space="preserve">을 구분하고 </w:t>
      </w:r>
      <w:r>
        <w:rPr>
          <w:rFonts w:eastAsia="Noto Sans KR" w:ascii="Noto Sans KR" w:hAnsi="Noto Sans KR" w:cs="Noto Sans KR"/>
        </w:rPr>
        <w:t>Local Transaction</w:t>
      </w:r>
      <w:r>
        <w:rPr>
          <w:rFonts w:ascii="Noto Sans KR" w:hAnsi="Noto Sans KR" w:eastAsia="Noto Sans KR" w:cs="Noto Sans KR"/>
        </w:rPr>
        <w:t xml:space="preserve">과 </w:t>
      </w:r>
      <w:r>
        <w:rPr>
          <w:rFonts w:eastAsia="Noto Sans KR" w:ascii="Noto Sans KR" w:hAnsi="Noto Sans KR" w:cs="Noto Sans KR"/>
        </w:rPr>
        <w:t>Remote Side Effect</w:t>
      </w:r>
      <w:r>
        <w:rPr>
          <w:rFonts w:ascii="Noto Sans KR" w:hAnsi="Noto Sans KR" w:eastAsia="Noto Sans KR" w:cs="Noto Sans KR"/>
        </w:rPr>
        <w:t>의 원자성 경계를 분리합니다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3" w:name="__RefHeading___Toc4558_1421710836"/>
      <w:bookmarkEnd w:id="13"/>
      <w:r>
        <w:rPr>
          <w:rFonts w:ascii="Noto Sans KR" w:hAnsi="Noto Sans KR" w:eastAsia="Noto Sans KR" w:cs="Noto Sans KR"/>
        </w:rPr>
        <w:t>Result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ascii="Noto Sans KR" w:hAnsi="Noto Sans KR" w:eastAsia="Noto Sans KR" w:cs="Noto Sans KR"/>
        </w:rPr>
        <w:t>HTTP Mapping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CpfResult</w:t>
      </w:r>
      <w:r>
        <w:rPr>
          <w:rFonts w:ascii="Noto Sans KR" w:hAnsi="Noto Sans KR" w:eastAsia="Noto Sans KR" w:cs="Noto Sans KR"/>
        </w:rPr>
        <w:t xml:space="preserve">의 상태는 </w:t>
      </w:r>
      <w:r>
        <w:rPr>
          <w:rFonts w:eastAsia="Noto Sans KR" w:ascii="Noto Sans KR" w:hAnsi="Noto Sans KR" w:cs="Noto Sans KR"/>
        </w:rPr>
        <w:t xml:space="preserve">HTTP/Domain </w:t>
      </w:r>
      <w:r>
        <w:rPr>
          <w:rFonts w:ascii="Noto Sans KR" w:hAnsi="Noto Sans KR" w:eastAsia="Noto Sans KR" w:cs="Noto Sans KR"/>
        </w:rPr>
        <w:t>경계에서 의미를 유지합니다</w:t>
      </w:r>
      <w:r>
        <w:rPr>
          <w:rFonts w:eastAsia="Noto Sans KR" w:ascii="Noto Sans KR" w:hAnsi="Noto Sans KR" w:cs="Noto Sans KR"/>
        </w:rPr>
        <w:t>. 401/403/404/409/429/500/503</w:t>
      </w:r>
      <w:r>
        <w:rPr>
          <w:rFonts w:ascii="Noto Sans KR" w:hAnsi="Noto Sans KR" w:eastAsia="Noto Sans KR" w:cs="Noto Sans KR"/>
        </w:rPr>
        <w:t xml:space="preserve">은 표준 오류 계약과 </w:t>
      </w:r>
      <w:r>
        <w:rPr>
          <w:rFonts w:eastAsia="Noto Sans KR" w:ascii="Noto Sans KR" w:hAnsi="Noto Sans KR" w:cs="Noto Sans KR"/>
        </w:rPr>
        <w:t>operationId/transactionId</w:t>
      </w:r>
      <w:r>
        <w:rPr>
          <w:rFonts w:ascii="Noto Sans KR" w:hAnsi="Noto Sans KR" w:eastAsia="Noto Sans KR" w:cs="Noto Sans KR"/>
        </w:rPr>
        <w:t>를 연결합니다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4" w:name="__RefHeading___Toc4560_1421710836"/>
      <w:bookmarkEnd w:id="14"/>
      <w:r>
        <w:rPr>
          <w:rFonts w:ascii="Noto Sans KR" w:hAnsi="Noto Sans KR" w:eastAsia="Noto Sans KR" w:cs="Noto Sans KR"/>
        </w:rPr>
        <w:t>Idempotency·Retry·Reconcile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 xml:space="preserve">중복 방지는 </w:t>
      </w:r>
      <w:r>
        <w:rPr>
          <w:rFonts w:eastAsia="Noto Sans KR" w:ascii="Noto Sans KR" w:hAnsi="Noto Sans KR" w:cs="Noto Sans KR"/>
        </w:rPr>
        <w:t xml:space="preserve">@CpfIdempotent, </w:t>
      </w:r>
      <w:r>
        <w:rPr>
          <w:rFonts w:ascii="Noto Sans KR" w:hAnsi="Noto Sans KR" w:eastAsia="Noto Sans KR" w:cs="Noto Sans KR"/>
        </w:rPr>
        <w:t xml:space="preserve">제한 재시도는 </w:t>
      </w:r>
      <w:r>
        <w:rPr>
          <w:rFonts w:eastAsia="Noto Sans KR" w:ascii="Noto Sans KR" w:hAnsi="Noto Sans KR" w:cs="Noto Sans KR"/>
        </w:rPr>
        <w:t xml:space="preserve">@CpfRetry, </w:t>
      </w:r>
      <w:r>
        <w:rPr>
          <w:rFonts w:ascii="Noto Sans KR" w:hAnsi="Noto Sans KR" w:eastAsia="Noto Sans KR" w:cs="Noto Sans KR"/>
        </w:rPr>
        <w:t xml:space="preserve">외부 </w:t>
      </w:r>
      <w:r>
        <w:rPr>
          <w:rFonts w:eastAsia="Noto Sans KR" w:ascii="Noto Sans KR" w:hAnsi="Noto Sans KR" w:cs="Noto Sans KR"/>
        </w:rPr>
        <w:t>deadline</w:t>
      </w:r>
      <w:r>
        <w:rPr>
          <w:rFonts w:ascii="Noto Sans KR" w:hAnsi="Noto Sans KR" w:eastAsia="Noto Sans KR" w:cs="Noto Sans KR"/>
        </w:rPr>
        <w:t xml:space="preserve">은 </w:t>
      </w:r>
      <w:r>
        <w:rPr>
          <w:rFonts w:eastAsia="Noto Sans KR" w:ascii="Noto Sans KR" w:hAnsi="Noto Sans KR" w:cs="Noto Sans KR"/>
        </w:rPr>
        <w:t>@CpfTimeout</w:t>
      </w:r>
      <w:r>
        <w:rPr>
          <w:rFonts w:ascii="Noto Sans KR" w:hAnsi="Noto Sans KR" w:eastAsia="Noto Sans KR" w:cs="Noto Sans KR"/>
        </w:rPr>
        <w:t>를 사용합니다</w:t>
      </w:r>
      <w:r>
        <w:rPr>
          <w:rFonts w:eastAsia="Noto Sans KR" w:ascii="Noto Sans KR" w:hAnsi="Noto Sans KR" w:cs="Noto Sans KR"/>
        </w:rPr>
        <w:t xml:space="preserve">. Side Effect </w:t>
      </w:r>
      <w:r>
        <w:rPr>
          <w:rFonts w:ascii="Noto Sans KR" w:hAnsi="Noto Sans KR" w:eastAsia="Noto Sans KR" w:cs="Noto Sans KR"/>
        </w:rPr>
        <w:t xml:space="preserve">결과 미확정은 </w:t>
      </w:r>
      <w:r>
        <w:rPr>
          <w:rFonts w:eastAsia="Noto Sans KR" w:ascii="Noto Sans KR" w:hAnsi="Noto Sans KR" w:cs="Noto Sans KR"/>
        </w:rPr>
        <w:t>UNKNOWN</w:t>
      </w:r>
      <w:r>
        <w:rPr>
          <w:rFonts w:ascii="Noto Sans KR" w:hAnsi="Noto Sans KR" w:eastAsia="Noto Sans KR" w:cs="Noto Sans KR"/>
        </w:rPr>
        <w:t xml:space="preserve">으로 남기고 </w:t>
      </w:r>
      <w:r>
        <w:rPr>
          <w:rFonts w:eastAsia="Noto Sans KR" w:ascii="Noto Sans KR" w:hAnsi="Noto Sans KR" w:cs="Noto Sans KR"/>
        </w:rPr>
        <w:t>Reconcile</w:t>
      </w:r>
      <w:r>
        <w:rPr>
          <w:rFonts w:ascii="Noto Sans KR" w:hAnsi="Noto Sans KR" w:eastAsia="Noto Sans KR" w:cs="Noto Sans KR"/>
        </w:rPr>
        <w:t>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/>
        <w:rPr/>
      </w:pPr>
      <w:bookmarkStart w:id="15" w:name="__RefHeading___Toc4562_1421710836"/>
      <w:bookmarkEnd w:id="15"/>
      <w:r>
        <w:rPr>
          <w:rFonts w:ascii="Noto Sans KR" w:hAnsi="Noto Sans KR" w:eastAsia="Noto Sans KR" w:cs="Noto Sans KR"/>
        </w:rPr>
        <w:t xml:space="preserve">8 Messaging·Cache·File·Security </w:t>
      </w:r>
      <w:r>
        <w:rPr>
          <w:rFonts w:ascii="Noto Sans KR" w:hAnsi="Noto Sans KR" w:eastAsia="Noto Sans KR" w:cs="Noto Sans KR"/>
        </w:rPr>
        <w:t>계약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선택 </w:t>
      </w:r>
      <w:r>
        <w:rPr>
          <w:rFonts w:eastAsia="Noto Sans KR" w:ascii="Noto Sans KR" w:hAnsi="Noto Sans KR" w:cs="Noto Sans KR"/>
        </w:rPr>
        <w:t>Provider</w:t>
      </w:r>
      <w:r>
        <w:rPr>
          <w:rFonts w:ascii="Noto Sans KR" w:hAnsi="Noto Sans KR" w:eastAsia="Noto Sans KR" w:cs="Noto Sans KR"/>
        </w:rPr>
        <w:t xml:space="preserve">가 바뀌어도 </w:t>
      </w:r>
      <w:r>
        <w:rPr>
          <w:rFonts w:eastAsia="Noto Sans KR" w:ascii="Noto Sans KR" w:hAnsi="Noto Sans KR" w:cs="Noto Sans KR"/>
        </w:rPr>
        <w:t xml:space="preserve">Context, Failure, Security, Trace </w:t>
      </w:r>
      <w:r>
        <w:rPr>
          <w:rFonts w:ascii="Noto Sans KR" w:hAnsi="Noto Sans KR" w:eastAsia="Noto Sans KR" w:cs="Noto Sans KR"/>
        </w:rPr>
        <w:t>계약을 유지합니다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6" w:name="__RefHeading___Toc4564_1421710836"/>
      <w:bookmarkEnd w:id="16"/>
      <w:r>
        <w:rPr>
          <w:rFonts w:ascii="Noto Sans KR" w:hAnsi="Noto Sans KR" w:eastAsia="Noto Sans KR" w:cs="Noto Sans KR"/>
        </w:rPr>
        <w:t>Messaging·Notification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Producer/Consumer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messageId/idempotencyKey/Context</w:t>
      </w:r>
      <w:r>
        <w:rPr>
          <w:rFonts w:ascii="Noto Sans KR" w:hAnsi="Noto Sans KR" w:eastAsia="Noto Sans KR" w:cs="Noto Sans KR"/>
        </w:rPr>
        <w:t xml:space="preserve">를 전파하고 </w:t>
      </w:r>
      <w:r>
        <w:rPr>
          <w:rFonts w:eastAsia="Noto Sans KR" w:ascii="Noto Sans KR" w:hAnsi="Noto Sans KR" w:cs="Noto Sans KR"/>
        </w:rPr>
        <w:t xml:space="preserve">DLQ/Replay </w:t>
      </w:r>
      <w:r>
        <w:rPr>
          <w:rFonts w:ascii="Noto Sans KR" w:hAnsi="Noto Sans KR" w:eastAsia="Noto Sans KR" w:cs="Noto Sans KR"/>
        </w:rPr>
        <w:t>시 기존 처리 상태를 확인합니다</w:t>
      </w:r>
      <w:r>
        <w:rPr>
          <w:rFonts w:eastAsia="Noto Sans KR" w:ascii="Noto Sans KR" w:hAnsi="Noto Sans KR" w:cs="Noto Sans KR"/>
        </w:rPr>
        <w:t>. Notification</w:t>
      </w:r>
      <w:r>
        <w:rPr>
          <w:rFonts w:ascii="Noto Sans KR" w:hAnsi="Noto Sans KR" w:eastAsia="Noto Sans KR" w:cs="Noto Sans KR"/>
        </w:rPr>
        <w:t>은 채널 전달 상태와 업무 성공을 구분합니다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7" w:name="__RefHeading___Toc4566_1421710836"/>
      <w:bookmarkEnd w:id="17"/>
      <w:r>
        <w:rPr>
          <w:rFonts w:ascii="Noto Sans KR" w:hAnsi="Noto Sans KR" w:eastAsia="Noto Sans KR" w:cs="Noto Sans KR"/>
        </w:rPr>
        <w:t>Cache·File·Object Storage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Cache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 xml:space="preserve">TTL/invalidation/multi-instance/stampede/fail-open </w:t>
      </w:r>
      <w:r>
        <w:rPr>
          <w:rFonts w:ascii="Noto Sans KR" w:hAnsi="Noto Sans KR" w:eastAsia="Noto Sans KR" w:cs="Noto Sans KR"/>
        </w:rPr>
        <w:t>정책을</w:t>
      </w:r>
      <w:r>
        <w:rPr>
          <w:rFonts w:eastAsia="Noto Sans KR" w:ascii="Noto Sans KR" w:hAnsi="Noto Sans KR" w:cs="Noto Sans KR"/>
        </w:rPr>
        <w:t>, File/Object Storage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metadata/</w:t>
      </w:r>
      <w:r>
        <w:rPr>
          <w:rFonts w:ascii="Noto Sans KR" w:hAnsi="Noto Sans KR" w:eastAsia="Noto Sans KR" w:cs="Noto Sans KR"/>
        </w:rPr>
        <w:t>권한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>보존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>복구를 명시합니다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8" w:name="__RefHeading___Toc4568_1421710836"/>
      <w:bookmarkEnd w:id="18"/>
      <w:r>
        <w:rPr>
          <w:rFonts w:ascii="Noto Sans KR" w:hAnsi="Noto Sans KR" w:eastAsia="Noto Sans KR" w:cs="Noto Sans KR"/>
        </w:rPr>
        <w:t>Security·Approval·Audit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Authentication/Authorization, Masking/Secret, Permission/Reason/Approval/Audit</w:t>
      </w:r>
      <w:r>
        <w:rPr>
          <w:rFonts w:ascii="Noto Sans KR" w:hAnsi="Noto Sans KR" w:eastAsia="Noto Sans KR" w:cs="Noto Sans KR"/>
        </w:rPr>
        <w:t xml:space="preserve">는 위험 조치와 </w:t>
      </w:r>
      <w:r>
        <w:rPr>
          <w:rFonts w:eastAsia="Noto Sans KR" w:ascii="Noto Sans KR" w:hAnsi="Noto Sans KR" w:cs="Noto Sans KR"/>
        </w:rPr>
        <w:t xml:space="preserve">Public API </w:t>
      </w:r>
      <w:r>
        <w:rPr>
          <w:rFonts w:ascii="Noto Sans KR" w:hAnsi="Noto Sans KR" w:eastAsia="Noto Sans KR" w:cs="Noto Sans KR"/>
        </w:rPr>
        <w:t>경계에 적용합니다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/>
        <w:rPr/>
      </w:pPr>
      <w:bookmarkStart w:id="19" w:name="__RefHeading___Toc4570_1421710836"/>
      <w:bookmarkEnd w:id="19"/>
      <w:r>
        <w:rPr>
          <w:rFonts w:ascii="Noto Sans KR" w:hAnsi="Noto Sans KR" w:eastAsia="Noto Sans KR" w:cs="Noto Sans KR"/>
        </w:rPr>
        <w:t xml:space="preserve">9 Batch·Gateway·DB·Platform State </w:t>
      </w:r>
      <w:r>
        <w:rPr>
          <w:rFonts w:ascii="Noto Sans KR" w:hAnsi="Noto Sans KR" w:eastAsia="Noto Sans KR" w:cs="Noto Sans KR"/>
        </w:rPr>
        <w:t>계약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독립 </w:t>
      </w:r>
      <w:r>
        <w:rPr>
          <w:rFonts w:eastAsia="Noto Sans KR" w:ascii="Noto Sans KR" w:hAnsi="Noto Sans KR" w:cs="Noto Sans KR"/>
        </w:rPr>
        <w:t>Runtime</w:t>
      </w:r>
      <w:r>
        <w:rPr>
          <w:rFonts w:ascii="Noto Sans KR" w:hAnsi="Noto Sans KR" w:eastAsia="Noto Sans KR" w:cs="Noto Sans KR"/>
        </w:rPr>
        <w:t xml:space="preserve">과 </w:t>
      </w:r>
      <w:r>
        <w:rPr>
          <w:rFonts w:eastAsia="Noto Sans KR" w:ascii="Noto Sans KR" w:hAnsi="Noto Sans KR" w:cs="Noto Sans KR"/>
        </w:rPr>
        <w:t>DB Lifecycle</w:t>
      </w:r>
      <w:r>
        <w:rPr>
          <w:rFonts w:ascii="Noto Sans KR" w:hAnsi="Noto Sans KR" w:eastAsia="Noto Sans KR" w:cs="Noto Sans KR"/>
        </w:rPr>
        <w:t xml:space="preserve">도 </w:t>
      </w:r>
      <w:r>
        <w:rPr>
          <w:rFonts w:eastAsia="Noto Sans KR" w:ascii="Noto Sans KR" w:hAnsi="Noto Sans KR" w:cs="Noto Sans KR"/>
        </w:rPr>
        <w:t>Public Contract</w:t>
      </w:r>
      <w:r>
        <w:rPr>
          <w:rFonts w:ascii="Noto Sans KR" w:hAnsi="Noto Sans KR" w:eastAsia="Noto Sans KR" w:cs="Noto Sans KR"/>
        </w:rPr>
        <w:t xml:space="preserve">와 동일한 </w:t>
      </w:r>
      <w:r>
        <w:rPr>
          <w:rFonts w:eastAsia="Noto Sans KR" w:ascii="Noto Sans KR" w:hAnsi="Noto Sans KR" w:cs="Noto Sans KR"/>
        </w:rPr>
        <w:t xml:space="preserve">Identity/Failure/Audit </w:t>
      </w:r>
      <w:r>
        <w:rPr>
          <w:rFonts w:ascii="Noto Sans KR" w:hAnsi="Noto Sans KR" w:eastAsia="Noto Sans KR" w:cs="Noto Sans KR"/>
        </w:rPr>
        <w:t>규칙을 사용합니다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20" w:name="__RefHeading___Toc4572_1421710836"/>
      <w:bookmarkEnd w:id="20"/>
      <w:r>
        <w:rPr>
          <w:rFonts w:ascii="Noto Sans KR" w:hAnsi="Noto Sans KR" w:eastAsia="Noto Sans KR" w:cs="Noto Sans KR"/>
        </w:rPr>
        <w:t>Batch·Gateway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Batch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Lease/Fencing/Checkpoint/Recovery</w:t>
      </w:r>
      <w:r>
        <w:rPr>
          <w:rFonts w:ascii="Noto Sans KR" w:hAnsi="Noto Sans KR" w:eastAsia="Noto Sans KR" w:cs="Noto Sans KR"/>
        </w:rPr>
        <w:t>를</w:t>
      </w:r>
      <w:r>
        <w:rPr>
          <w:rFonts w:eastAsia="Noto Sans KR" w:ascii="Noto Sans KR" w:hAnsi="Noto Sans KR" w:cs="Noto Sans KR"/>
        </w:rPr>
        <w:t>, Gateway</w:t>
      </w:r>
      <w:r>
        <w:rPr>
          <w:rFonts w:ascii="Noto Sans KR" w:hAnsi="Noto Sans KR" w:eastAsia="Noto Sans KR" w:cs="Noto Sans KR"/>
        </w:rPr>
        <w:t xml:space="preserve">는 외부 </w:t>
      </w:r>
      <w:r>
        <w:rPr>
          <w:rFonts w:eastAsia="Noto Sans KR" w:ascii="Noto Sans KR" w:hAnsi="Noto Sans KR" w:cs="Noto Sans KR"/>
        </w:rPr>
        <w:t>Entry</w:t>
      </w:r>
      <w:r>
        <w:rPr>
          <w:rFonts w:ascii="Noto Sans KR" w:hAnsi="Noto Sans KR" w:eastAsia="Noto Sans KR" w:cs="Noto Sans KR"/>
        </w:rPr>
        <w:t xml:space="preserve">의 </w:t>
      </w:r>
      <w:r>
        <w:rPr>
          <w:rFonts w:eastAsia="Noto Sans KR" w:ascii="Noto Sans KR" w:hAnsi="Noto Sans KR" w:cs="Noto Sans KR"/>
        </w:rPr>
        <w:t>Route/Security/Rate Limit</w:t>
      </w:r>
      <w:r>
        <w:rPr>
          <w:rFonts w:ascii="Noto Sans KR" w:hAnsi="Noto Sans KR" w:eastAsia="Noto Sans KR" w:cs="Noto Sans KR"/>
        </w:rPr>
        <w:t>을 소유합니다</w:t>
      </w:r>
      <w:r>
        <w:rPr>
          <w:rFonts w:eastAsia="Noto Sans KR" w:ascii="Noto Sans KR" w:hAnsi="Noto Sans KR" w:cs="Noto Sans KR"/>
        </w:rPr>
        <w:t>. Gateway</w:t>
      </w:r>
      <w:r>
        <w:rPr>
          <w:rFonts w:ascii="Noto Sans KR" w:hAnsi="Noto Sans KR" w:eastAsia="Noto Sans KR" w:cs="Noto Sans KR"/>
        </w:rPr>
        <w:t xml:space="preserve">는 내부 </w:t>
      </w:r>
      <w:r>
        <w:rPr>
          <w:rFonts w:eastAsia="Noto Sans KR" w:ascii="Noto Sans KR" w:hAnsi="Noto Sans KR" w:cs="Noto Sans KR"/>
        </w:rPr>
        <w:t xml:space="preserve">Domain </w:t>
      </w:r>
      <w:r>
        <w:rPr>
          <w:rFonts w:ascii="Noto Sans KR" w:hAnsi="Noto Sans KR" w:eastAsia="Noto Sans KR" w:cs="Noto Sans KR"/>
        </w:rPr>
        <w:t>호출 경로가 아닙니다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21" w:name="__RefHeading___Toc4574_1421710836"/>
      <w:bookmarkEnd w:id="21"/>
      <w:r>
        <w:rPr>
          <w:rFonts w:ascii="Noto Sans KR" w:hAnsi="Noto Sans KR" w:eastAsia="Noto Sans KR" w:cs="Noto Sans KR"/>
        </w:rPr>
        <w:t>DB Lifecycle</w:t>
      </w:r>
      <w:r>
        <w:rPr>
          <w:rFonts w:ascii="Noto Sans KR" w:hAnsi="Noto Sans KR" w:eastAsia="Noto Sans KR" w:cs="Noto Sans KR"/>
        </w:rPr>
        <w:t xml:space="preserve">과 </w:t>
      </w:r>
      <w:r>
        <w:rPr>
          <w:rFonts w:ascii="Noto Sans KR" w:hAnsi="Noto Sans KR" w:eastAsia="Noto Sans KR" w:cs="Noto Sans KR"/>
        </w:rPr>
        <w:t>Platform State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DB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Canonical Source→Fresh→Migration→Upgrade→Rollback/Recovery→Seed→Runtime Query→Generator→Test/Evidence</w:t>
      </w:r>
      <w:r>
        <w:rPr>
          <w:rFonts w:ascii="Noto Sans KR" w:hAnsi="Noto Sans KR" w:eastAsia="Noto Sans KR" w:cs="Noto Sans KR"/>
        </w:rPr>
        <w:t xml:space="preserve">를 </w:t>
      </w:r>
      <w:r>
        <w:rPr>
          <w:rFonts w:eastAsia="Noto Sans KR" w:ascii="Noto Sans KR" w:hAnsi="Noto Sans KR" w:cs="Noto Sans KR"/>
        </w:rPr>
        <w:t>Oracle/PostgreSQL/MariaDB</w:t>
      </w:r>
      <w:r>
        <w:rPr>
          <w:rFonts w:ascii="Noto Sans KR" w:hAnsi="Noto Sans KR" w:eastAsia="Noto Sans KR" w:cs="Noto Sans KR"/>
        </w:rPr>
        <w:t>에서 유지합니다</w:t>
      </w:r>
      <w:r>
        <w:rPr>
          <w:rFonts w:eastAsia="Noto Sans KR" w:ascii="Noto Sans KR" w:hAnsi="Noto Sans KR" w:cs="Noto Sans KR"/>
        </w:rPr>
        <w:t>. Feature Flag/Config</w:t>
      </w:r>
      <w:r>
        <w:rPr>
          <w:rFonts w:ascii="Noto Sans KR" w:hAnsi="Noto Sans KR" w:eastAsia="Noto Sans KR" w:cs="Noto Sans KR"/>
        </w:rPr>
        <w:t>는 상태 변경 전후를 추적합니다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/>
        <w:rPr/>
      </w:pPr>
      <w:bookmarkStart w:id="22" w:name="__RefHeading___Toc4576_1421710836"/>
      <w:bookmarkEnd w:id="22"/>
      <w:r>
        <w:rPr>
          <w:rFonts w:ascii="Noto Sans KR" w:hAnsi="Noto Sans KR" w:eastAsia="Noto Sans KR" w:cs="Noto Sans KR"/>
        </w:rPr>
        <w:t>10 Operations·OpenAPI·Compatibility·Acceptance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운영 </w:t>
      </w:r>
      <w:r>
        <w:rPr>
          <w:rFonts w:eastAsia="Noto Sans KR" w:ascii="Noto Sans KR" w:hAnsi="Noto Sans KR" w:cs="Noto Sans KR"/>
        </w:rPr>
        <w:t>Surface</w:t>
      </w:r>
      <w:r>
        <w:rPr>
          <w:rFonts w:ascii="Noto Sans KR" w:hAnsi="Noto Sans KR" w:eastAsia="Noto Sans KR" w:cs="Noto Sans KR"/>
        </w:rPr>
        <w:t xml:space="preserve">와 개발 </w:t>
      </w:r>
      <w:r>
        <w:rPr>
          <w:rFonts w:eastAsia="Noto Sans KR" w:ascii="Noto Sans KR" w:hAnsi="Noto Sans KR" w:cs="Noto Sans KR"/>
        </w:rPr>
        <w:t>Contract</w:t>
      </w:r>
      <w:r>
        <w:rPr>
          <w:rFonts w:ascii="Noto Sans KR" w:hAnsi="Noto Sans KR" w:eastAsia="Noto Sans KR" w:cs="Noto Sans KR"/>
        </w:rPr>
        <w:t xml:space="preserve">가 같은 </w:t>
      </w:r>
      <w:r>
        <w:rPr>
          <w:rFonts w:eastAsia="Noto Sans KR" w:ascii="Noto Sans KR" w:hAnsi="Noto Sans KR" w:cs="Noto Sans KR"/>
        </w:rPr>
        <w:t>operationId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 xml:space="preserve">Public API </w:t>
      </w:r>
      <w:r>
        <w:rPr>
          <w:rFonts w:ascii="Noto Sans KR" w:hAnsi="Noto Sans KR" w:eastAsia="Noto Sans KR" w:cs="Noto Sans KR"/>
        </w:rPr>
        <w:t>정의를 가리켜야 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23" w:name="__RefHeading___Toc4578_1421710836"/>
      <w:bookmarkEnd w:id="23"/>
      <w:r>
        <w:rPr>
          <w:rFonts w:ascii="Noto Sans KR" w:hAnsi="Noto Sans KR" w:eastAsia="Noto Sans KR" w:cs="Noto Sans KR"/>
        </w:rPr>
        <w:t>OpenAPI·Frontend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Backend OpenAPI operationId</w:t>
      </w:r>
      <w:r>
        <w:rPr>
          <w:rFonts w:ascii="Noto Sans KR" w:hAnsi="Noto Sans KR" w:eastAsia="Noto Sans KR" w:cs="Noto Sans KR"/>
        </w:rPr>
        <w:t xml:space="preserve">를 </w:t>
      </w:r>
      <w:r>
        <w:rPr>
          <w:rFonts w:eastAsia="Noto Sans KR" w:ascii="Noto Sans KR" w:hAnsi="Noto Sans KR" w:cs="Noto Sans KR"/>
        </w:rPr>
        <w:t>Generated Client</w:t>
      </w:r>
      <w:r>
        <w:rPr>
          <w:rFonts w:ascii="Noto Sans KR" w:hAnsi="Noto Sans KR" w:eastAsia="Noto Sans KR" w:cs="Noto Sans KR"/>
        </w:rPr>
        <w:t xml:space="preserve">와 실제 </w:t>
      </w:r>
      <w:r>
        <w:rPr>
          <w:rFonts w:eastAsia="Noto Sans KR" w:ascii="Noto Sans KR" w:hAnsi="Noto Sans KR" w:cs="Noto Sans KR"/>
        </w:rPr>
        <w:t>Frontend Consumer</w:t>
      </w:r>
      <w:r>
        <w:rPr>
          <w:rFonts w:ascii="Noto Sans KR" w:hAnsi="Noto Sans KR" w:eastAsia="Noto Sans KR" w:cs="Noto Sans KR"/>
        </w:rPr>
        <w:t>가 사용합니다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내부 구현 타입을 </w:t>
      </w:r>
      <w:r>
        <w:rPr>
          <w:rFonts w:eastAsia="Noto Sans KR" w:ascii="Noto Sans KR" w:hAnsi="Noto Sans KR" w:cs="Noto Sans KR"/>
        </w:rPr>
        <w:t>OpenAPI/Public Client</w:t>
      </w:r>
      <w:r>
        <w:rPr>
          <w:rFonts w:ascii="Noto Sans KR" w:hAnsi="Noto Sans KR" w:eastAsia="Noto Sans KR" w:cs="Noto Sans KR"/>
        </w:rPr>
        <w:t>로 누출하지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24" w:name="__RefHeading___Toc4580_1421710836"/>
      <w:bookmarkEnd w:id="24"/>
      <w:r>
        <w:rPr>
          <w:rFonts w:ascii="Noto Sans KR" w:hAnsi="Noto Sans KR" w:eastAsia="Noto Sans KR" w:cs="Noto Sans KR"/>
        </w:rPr>
        <w:t>Contract Acceptance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Source, Consumer, Config, DB3, Generator, OpenAPI, Frontend, Unit/Integration/Runtime Test, Failure/Recovery Evidence</w:t>
      </w:r>
      <w:r>
        <w:rPr>
          <w:rFonts w:ascii="Noto Sans KR" w:hAnsi="Noto Sans KR" w:eastAsia="Noto Sans KR" w:cs="Noto Sans KR"/>
        </w:rPr>
        <w:t xml:space="preserve">가 동일 계약을 가리키고 실제 </w:t>
      </w:r>
      <w:r>
        <w:rPr>
          <w:rFonts w:eastAsia="Noto Sans KR" w:ascii="Noto Sans KR" w:hAnsi="Noto Sans KR" w:cs="Noto Sans KR"/>
        </w:rPr>
        <w:t>Gate</w:t>
      </w:r>
      <w:r>
        <w:rPr>
          <w:rFonts w:ascii="Noto Sans KR" w:hAnsi="Noto Sans KR" w:eastAsia="Noto Sans KR" w:cs="Noto Sans KR"/>
        </w:rPr>
        <w:t>가 성공해야 완료입니다</w:t>
      </w:r>
      <w:r>
        <w:rPr>
          <w:rFonts w:eastAsia="Noto Sans KR" w:ascii="Noto Sans KR" w:hAnsi="Noto Sans KR" w:cs="Noto Sans KR"/>
        </w:rPr>
        <w:t>.</w:t>
      </w:r>
    </w:p>
    <w:p>
      <w:pPr>
        <w:pStyle w:val="CPFSource"/>
        <w:spacing w:before="160" w:after="200"/>
        <w:ind w:start="255"/>
        <w:rPr/>
      </w:pPr>
      <w:r>
        <w:rPr>
          <w:rFonts w:eastAsia="Noto Sans KR" w:ascii="Noto Sans KR" w:hAnsi="Noto Sans KR" w:cs="Noto Sans KR"/>
        </w:rPr>
        <w:t>Source: cpf-docs/development/CPF_PUBLIC_FUNCTION_TOP_100.md · cpf-docs/governance/CPF_FINAL_TARGET_REQUIREMENTS.md · cpf-tools/generator/contracts/cpf-starter-catalog.json</w:t>
      </w:r>
    </w:p>
    <w:p>
      <w:pPr>
        <w:pStyle w:val="Heading2"/>
      </w:pPr>
      <w:r>
        <w:t>Compatibility Acceptance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4887"/>
        <w:gridCol w:w="5592778"/>
        <w:gridCol w:w="3346765"/>
      </w:tblGrid>
      <w:tr>
        <w:trPr>
          <w:tblHeader w:val="true"/>
          <w:cantSplit/>
        </w:trPr>
        <w:tc>
          <w:tcPr>
            <w:tcW w:type="dxa" w:w="1104887"/>
            <w:vAlign w:val="center"/>
            <w:shd w:fill="183B63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계약 축</w:t>
            </w:r>
          </w:p>
        </w:tc>
        <w:tc>
          <w:tcPr>
            <w:tcW w:type="dxa" w:w="5592778"/>
            <w:vAlign w:val="center"/>
            <w:shd w:fill="183B63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호환성 완료 조건</w:t>
            </w:r>
          </w:p>
        </w:tc>
        <w:tc>
          <w:tcPr>
            <w:tcW w:type="dxa" w:w="3346765"/>
            <w:vAlign w:val="center"/>
            <w:shd w:fill="183B63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깨지면 안 되는 Consumer</w:t>
            </w:r>
          </w:p>
        </w:tc>
      </w:tr>
      <w:tr>
        <w:trPr>
          <w:cantSplit/>
        </w:trPr>
        <w:tc>
          <w:tcPr>
            <w:tcW w:type="dxa" w:w="1104887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Public API</w:t>
            </w:r>
          </w:p>
        </w:tc>
        <w:tc>
          <w:tcPr>
            <w:tcW w:type="dxa" w:w="5592778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기존 Signature/Result/Error 의미 유지 또는 명시적 Migration</w:t>
            </w:r>
          </w:p>
        </w:tc>
        <w:tc>
          <w:tcPr>
            <w:tcW w:type="dxa" w:w="3346765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Generated Domain·Sample·고객 업무</w:t>
            </w:r>
          </w:p>
        </w:tc>
      </w:tr>
      <w:tr>
        <w:trPr>
          <w:cantSplit/>
        </w:trPr>
        <w:tc>
          <w:tcPr>
            <w:tcW w:type="dxa" w:w="1104887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Starter/Profile</w:t>
            </w:r>
          </w:p>
        </w:tc>
        <w:tc>
          <w:tcPr>
            <w:tcW w:type="dxa" w:w="5592778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Public 이름·Capability owner·AutoConfiguration 일치</w:t>
            </w:r>
          </w:p>
        </w:tc>
        <w:tc>
          <w:tcPr>
            <w:tcW w:type="dxa" w:w="3346765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build.gradle·metadata·Generator</w:t>
            </w:r>
          </w:p>
        </w:tc>
      </w:tr>
      <w:tr>
        <w:trPr>
          <w:cantSplit/>
        </w:trPr>
        <w:tc>
          <w:tcPr>
            <w:tcW w:type="dxa" w:w="1104887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OpenAPI</w:t>
            </w:r>
          </w:p>
        </w:tc>
        <w:tc>
          <w:tcPr>
            <w:tcW w:type="dxa" w:w="5592778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operationId/Schema와 Generated Client 일치</w:t>
            </w:r>
          </w:p>
        </w:tc>
        <w:tc>
          <w:tcPr>
            <w:tcW w:type="dxa" w:w="3346765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Frontend·외부 Client</w:t>
            </w:r>
          </w:p>
        </w:tc>
      </w:tr>
      <w:tr>
        <w:trPr>
          <w:cantSplit/>
        </w:trPr>
        <w:tc>
          <w:tcPr>
            <w:tcW w:type="dxa" w:w="1104887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DB3</w:t>
            </w:r>
          </w:p>
        </w:tc>
        <w:tc>
          <w:tcPr>
            <w:tcW w:type="dxa" w:w="5592778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세 Vendor의 Schema/Migration/Recovery 의미 동일</w:t>
            </w:r>
          </w:p>
        </w:tc>
        <w:tc>
          <w:tcPr>
            <w:tcW w:type="dxa" w:w="3346765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Repository·Runtime Query·Generator</w:t>
            </w:r>
          </w:p>
        </w:tc>
      </w:tr>
      <w:tr>
        <w:trPr>
          <w:cantSplit/>
        </w:trPr>
        <w:tc>
          <w:tcPr>
            <w:tcW w:type="dxa" w:w="1104887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Topology</w:t>
            </w:r>
          </w:p>
        </w:tc>
        <w:tc>
          <w:tcPr>
            <w:tcW w:type="dxa" w:w="5592778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Same JVM/Remote에서 Context/Failure 의미 동일</w:t>
            </w:r>
          </w:p>
        </w:tc>
        <w:tc>
          <w:tcPr>
            <w:tcW w:type="dxa" w:w="3346765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Domain Client·Registry/Transport</w:t>
            </w:r>
          </w:p>
        </w:tc>
      </w:tr>
      <w:tr>
        <w:trPr>
          <w:cantSplit/>
        </w:trPr>
        <w:tc>
          <w:tcPr>
            <w:tcW w:type="dxa" w:w="1104887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Operations</w:t>
            </w:r>
          </w:p>
        </w:tc>
        <w:tc>
          <w:tcPr>
            <w:tcW w:type="dxa" w:w="5592778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Identity/State/Recovery 조회 의미 유지</w:t>
            </w:r>
          </w:p>
        </w:tc>
        <w:tc>
          <w:tcPr>
            <w:tcW w:type="dxa" w:w="3346765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ADM·Runbook·운영 조회/제어 Surface</w:t>
            </w:r>
          </w:p>
        </w:tc>
      </w:tr>
      <w:tr>
        <w:trPr>
          <w:cantSplit/>
        </w:trPr>
        <w:tc>
          <w:tcPr>
            <w:tcW w:type="dxa" w:w="1104887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Generator</w:t>
            </w:r>
          </w:p>
        </w:tc>
        <w:tc>
          <w:tcPr>
            <w:tcW w:type="dxa" w:w="5592778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Fresh generation 결과가 현재 Public Contract와 compile/test</w:t>
            </w:r>
          </w:p>
        </w:tc>
        <w:tc>
          <w:tcPr>
            <w:tcW w:type="dxa" w:w="3346765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신규 Domain·Upgrade Domain</w:t>
            </w:r>
          </w:p>
        </w:tc>
      </w:tr>
    </w:tbl>
    <w:p>
      <w:pPr>
        <w:pStyle w:val="CPFCallout"/>
      </w:pPr>
      <w:r>
        <w:t>호환성은 Compile 성공만으로 판정하지 않습니다. 기존 Consumer가 같은 의미로 호출·실패 분기·복구·운영 조회를 수행할 수 있어야 합니다.</w:t>
      </w:r>
    </w:p>
    <w:p>
      <w:pPr>
        <w:pStyle w:val="Heading2"/>
      </w:pPr>
      <w:r>
        <w:t>호환성 회귀 확인</w:t>
      </w:r>
    </w:p>
    <w:p>
      <w:pPr/>
      <w:r>
        <w:t>Contract Acceptance는 신규 구현만 보는 검사가 아니라 기존 Consumer가 같은 의미로 계속 동작하는지 확인하는 회귀 계약입니다.</w:t>
      </w:r>
    </w:p>
    <w:p>
      <w:pPr>
        <w:pStyle w:val="ListBullet"/>
      </w:pPr>
      <w:r>
        <w:t>Public API/DTO/Annotation 변경 시 기존 Consumer compile뿐 아니라 SUCCESS·BUSINESS_FAILURE·TECHNICAL_FAILURE·UNKNOWN 분기와 Retry/Reconcile 경로를 확인합니다.</w:t>
      </w:r>
    </w:p>
    <w:p>
      <w:pPr>
        <w:pStyle w:val="ListBullet"/>
      </w:pPr>
      <w:r>
        <w:t>Same JVM과 Remote/MSA에서 Context/System6/Trace 의미가 동일하고 Gateway가 내부 Domain 호출 경로로 끼어들지 않는지 확인합니다.</w:t>
      </w:r>
    </w:p>
    <w:p>
      <w:pPr>
        <w:pStyle w:val="ListBullet"/>
      </w:pPr>
      <w:r>
        <w:t>Oracle/PostgreSQL/MariaDB의 Schema·Migration·Recovery와 Generator 재생성 결과가 동일 Public Contract를 가리키는지 확인합니다.</w:t>
      </w:r>
    </w:p>
    <w:p>
      <w:pPr>
        <w:pStyle w:val="ListBullet"/>
      </w:pPr>
      <w:r>
        <w:t>OpenAPI operationId·Generated Client·Frontend/ADM/Backoffice 소비 경로가 최신 Backend 계약과 일치하지 않으면 호환성 PASS로 판정하지 않습니다.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510" w:right="510" w:gutter="0" w:header="255" w:top="794" w:footer="312" w:bottom="79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E7186"/>
        <w:sz w:val="15"/>
      </w:rPr>
      <w:t xml:space="preserve">Core Platform Framework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10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color w:val="5E7186"/>
        <w:sz w:val="15"/>
      </w:rPr>
      <w:t xml:space="preserve">CPF  ·  Specification </w:t>
    </w:r>
    <w:r>
      <w:rPr>
        <w:rFonts w:ascii="Noto Sans KR" w:hAnsi="Noto Sans KR"/>
        <w:color w:val="5E7186"/>
        <w:sz w:val="15"/>
      </w:rPr>
      <w:t>기술 명세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17" w:before="0" w:after="170"/>
      <w:jc w:val="start"/>
    </w:pPr>
    <w:rPr>
      <w:rFonts w:ascii="Noto Sans KR" w:hAnsi="Noto Sans KR" w:eastAsia="Noto Sans KR" w:cs="Noto Sans KR"/>
      <w:color w:val="1C3553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lineRule="auto" w:line="259" w:before="1160" w:after="240"/>
      <w:outlineLvl w:val="0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3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lineRule="auto" w:line="259" w:before="640" w:after="150"/>
      <w:ind w:start="113"/>
      <w:outlineLvl w:val="1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lineRule="auto" w:line="264" w:before="400" w:after="120"/>
      <w:ind w:start="255"/>
      <w:outlineLvl w:val="2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5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keepLines/>
      <w:pBdr>
        <w:bottom w:val="single" w:sz="8" w:space="4" w:color="4F81BD" w:themeColor="accent1"/>
      </w:pBdr>
      <w:spacing w:lineRule="auto" w:line="240" w:before="0" w:after="160"/>
      <w:contextualSpacing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/>
      <w:color w:val="1C3553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keepLines/>
      <w:spacing w:before="0" w:after="280"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 w:val="false"/>
      <w:i/>
      <w:iCs/>
      <w:color w:val="1C3553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5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5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5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lineRule="auto" w:line="307" w:before="30" w:after="130"/>
      <w:contextualSpacing/>
    </w:pPr>
    <w:rPr>
      <w:rFonts w:ascii="Noto Sans KR" w:hAnsi="Noto Sans KR" w:eastAsia="Noto Sans KR" w:cs="Noto Sans KR"/>
      <w:color w:val="1C3553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5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5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ode" w:customStyle="1">
    <w:name w:val="CPF Code"/>
    <w:qFormat/>
    <w:pPr>
      <w:keepNext w:val="false"/>
      <w:widowControl/>
      <w:bidi w:val="0"/>
      <w:spacing w:lineRule="auto" w:line="288" w:before="160" w:after="200"/>
      <w:ind w:start="283" w:end="170"/>
      <w:jc w:val="start"/>
    </w:pPr>
    <w:rPr>
      <w:rFonts w:ascii="Noto Sans KR" w:hAnsi="Noto Sans KR" w:eastAsia="Noto Sans KR" w:cs=""/>
      <w:b w:val="false"/>
      <w:color w:val="202124"/>
      <w:kern w:val="0"/>
      <w:sz w:val="18"/>
      <w:szCs w:val="22"/>
      <w:lang w:val="en-US" w:eastAsia="en-US" w:bidi="ar-SA"/>
    </w:rPr>
  </w:style>
  <w:style w:type="paragraph" w:styleId="CPFCaption" w:customStyle="1">
    <w:name w:val="CPF Caption"/>
    <w:qFormat/>
    <w:pPr>
      <w:keepNext w:val="true"/>
      <w:widowControl/>
      <w:bidi w:val="0"/>
      <w:spacing w:lineRule="auto" w:line="288" w:before="80" w:after="240"/>
      <w:ind w:start="255" w:end="255"/>
      <w:jc w:val="start"/>
    </w:pPr>
    <w:rPr>
      <w:rFonts w:ascii="Noto Sans KR" w:hAnsi="Noto Sans KR" w:eastAsia="Noto Sans KR" w:cs=""/>
      <w:b w:val="false"/>
      <w:color w:val="5F6368"/>
      <w:kern w:val="0"/>
      <w:sz w:val="18"/>
      <w:szCs w:val="22"/>
      <w:lang w:val="en-US" w:eastAsia="en-US" w:bidi="ar-SA"/>
    </w:rPr>
  </w:style>
  <w:style w:type="paragraph" w:styleId="CPFLabel" w:customStyle="1">
    <w:name w:val="CPF Label"/>
    <w:qFormat/>
    <w:pPr>
      <w:keepNext w:val="true"/>
      <w:widowControl/>
      <w:bidi w:val="0"/>
      <w:spacing w:lineRule="auto" w:line="288" w:before="280" w:after="110"/>
      <w:ind w:start="255"/>
      <w:jc w:val="start"/>
    </w:pPr>
    <w:rPr>
      <w:rFonts w:ascii="Noto Sans KR" w:hAnsi="Noto Sans KR" w:eastAsia="Noto Sans KR" w:cs=""/>
      <w:b/>
      <w:color w:val="17324D"/>
      <w:kern w:val="0"/>
      <w:sz w:val="20"/>
      <w:szCs w:val="22"/>
      <w:lang w:val="en-US" w:eastAsia="en-US" w:bidi="ar-SA"/>
    </w:rPr>
  </w:style>
  <w:style w:type="paragraph" w:styleId="CPFLead" w:customStyle="1">
    <w:name w:val="CPF Lead"/>
    <w:basedOn w:val="Normal"/>
    <w:qFormat/>
    <w:pPr>
      <w:keepNext w:val="false"/>
      <w:widowControl/>
      <w:spacing w:lineRule="auto" w:line="324" w:before="0" w:after="24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ectionLead" w:customStyle="1">
    <w:name w:val="CPF Section Lead"/>
    <w:basedOn w:val="Normal"/>
    <w:qFormat/>
    <w:pPr>
      <w:keepNext w:val="false"/>
      <w:widowControl/>
      <w:spacing w:lineRule="auto" w:line="324" w:before="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Callout" w:customStyle="1">
    <w:name w:val="CPF Callout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Warning" w:customStyle="1">
    <w:name w:val="CPF Warning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ource" w:customStyle="1">
    <w:name w:val="CPF Source"/>
    <w:basedOn w:val="Normal"/>
    <w:qFormat/>
    <w:pPr>
      <w:keepNext w:val="false"/>
      <w:widowControl/>
      <w:spacing w:lineRule="auto" w:line="300" w:before="200" w:after="200"/>
    </w:pPr>
    <w:rPr>
      <w:rFonts w:ascii="Noto Sans KR" w:hAnsi="Noto Sans KR" w:eastAsia="Noto Sans KR" w:cs="Noto Sans KR"/>
      <w:b w:val="false"/>
      <w:color w:val="667C99"/>
      <w:sz w:val="17"/>
    </w:rPr>
  </w:style>
  <w:style w:type="paragraph" w:styleId="CPFTOCEntry" w:customStyle="1">
    <w:name w:val="CPF TOC Entry"/>
    <w:basedOn w:val="Normal"/>
    <w:qFormat/>
    <w:pPr>
      <w:spacing w:lineRule="auto" w:line="300" w:before="0" w:after="120"/>
      <w:ind w:start="113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TOCTitle" w:customStyle="1">
    <w:name w:val="CPF TOC Title"/>
    <w:basedOn w:val="Normal"/>
    <w:qFormat/>
    <w:pPr>
      <w:keepNext w:val="true"/>
      <w:widowControl/>
      <w:spacing w:lineRule="auto" w:line="264" w:before="560" w:after="220"/>
    </w:pPr>
    <w:rPr>
      <w:rFonts w:ascii="Noto Sans KR" w:hAnsi="Noto Sans KR" w:eastAsia="Noto Sans KR" w:cs="Noto Sans KR"/>
      <w:b/>
      <w:color w:val="1C3553"/>
      <w:sz w:val="30"/>
    </w:rPr>
  </w:style>
  <w:style w:type="paragraph" w:styleId="CPFTableTitle" w:customStyle="1">
    <w:name w:val="CPF Table Title"/>
    <w:basedOn w:val="Normal"/>
    <w:qFormat/>
    <w:pPr>
      <w:keepNext/>
      <w:keepLines/>
      <w:widowControl/>
      <w:spacing w:lineRule="auto" w:line="276" w:before="180" w:after="120"/>
    </w:pPr>
    <w:rPr>
      <w:rFonts w:ascii="Noto Sans KR" w:hAnsi="Noto Sans KR" w:eastAsia="Noto Sans KR" w:cs="Noto Sans KR"/>
      <w:b/>
      <w:color w:val="1C3553"/>
      <w:sz w:val="20"/>
    </w:rPr>
  </w:style>
  <w:style w:type="paragraph" w:styleId="CPFTablePurpose" w:customStyle="1">
    <w:name w:val="CPF Table Purpose"/>
    <w:basedOn w:val="Normal"/>
    <w:qFormat/>
    <w:pPr>
      <w:keepNext w:val="true"/>
      <w:widowControl/>
      <w:spacing w:lineRule="auto" w:line="288" w:before="0" w:after="120"/>
    </w:pPr>
    <w:rPr>
      <w:rFonts w:ascii="Noto Sans KR" w:hAnsi="Noto Sans KR" w:eastAsia="Noto Sans KR" w:cs="Noto Sans KR"/>
      <w:b w:val="false"/>
      <w:color w:val="1C3553"/>
      <w:sz w:val="18"/>
    </w:rPr>
  </w:style>
  <w:style w:type="paragraph" w:styleId="TOC1">
    <w:name w:val="toc 1"/>
    <w:basedOn w:val="Index"/>
    <w:pPr>
      <w:tabs>
        <w:tab w:val="clear" w:pos="720"/>
        <w:tab w:val="right" w:pos="15818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15535" w:leader="dot"/>
      </w:tabs>
      <w:ind w:hanging="0" w:star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10</Pages>
  <Words>1436</Words>
  <Characters>4993</Characters>
  <CharactersWithSpaces>5517</CharactersWithSpaces>
  <Paragraphs>211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CPF Documentation Harness v2.3.0 PATCH_FIRST</dc:description>
  <dc:language>en-US</dc:language>
  <cp:lastModifiedBy/>
  <dcterms:modified xsi:type="dcterms:W3CDTF">2026-08-28T01:10:52Z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