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외부연계·메시징·파일 가이드</w:t>
      </w:r>
    </w:p>
    <w:p>
      <w:pPr>
        <w:spacing w:after="60" w:line="269" w:lineRule="auto"/>
      </w:pPr>
      <w:r>
        <w:rPr>
          <w:color w:val="667085"/>
          <w:sz w:val="21"/>
        </w:rPr>
        <w:t>Domain Call·외부 Service Call·Messaging·전문·파일 연계를 선택하고 결과를 안전하게 처리하는 실무 매뉴얼</w:t>
      </w:r>
    </w:p>
    <w:p>
      <w:pPr>
        <w:spacing w:after="60" w:line="269" w:lineRule="auto"/>
      </w:pPr>
      <w:r>
        <w:rPr>
          <w:color w:val="667085"/>
          <w:sz w:val="15"/>
        </w:rPr>
        <w:t>기준 Source: master bd5fcd7707cfbba366071e7e4556c5cbb9b974bc  ·  2026-08-15</w:t>
      </w:r>
    </w:p>
    <w:p>
      <w:pPr>
        <w:pStyle w:val="Heading1"/>
      </w:pPr>
      <w:r>
        <w:t>1. 연계 방식 선택</w:t>
      </w:r>
    </w:p>
    <w:p>
      <w:pPr>
        <w:spacing w:after="6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56000" cy="340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f-orchestration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69" w:lineRule="auto"/>
        <w:jc w:val="center"/>
      </w:pPr>
      <w:r>
        <w:rPr>
          <w:color w:val="667085"/>
          <w:sz w:val="16"/>
        </w:rPr>
        <w:t>내부 Domain, 외부 Service, Event를 공통 실행 문맥으로 연결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8"/>
        <w:gridCol w:w="2136"/>
        <w:gridCol w:w="3745"/>
        <w:gridCol w:w="2561"/>
      </w:tblGrid>
      <w:tr>
        <w:trPr>
          <w:tblHeader w:val="true"/>
          <w:cantSplit/>
        </w:trPr>
        <w:tc>
          <w:tcPr>
            <w:tcW w:type="dxa" w:w="2038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필요한 처리</w:t>
            </w:r>
          </w:p>
        </w:tc>
        <w:tc>
          <w:tcPr>
            <w:tcW w:type="dxa" w:w="2136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선택 기능</w:t>
            </w:r>
          </w:p>
        </w:tc>
        <w:tc>
          <w:tcPr>
            <w:tcW w:type="dxa" w:w="3745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특징</w:t>
            </w:r>
          </w:p>
        </w:tc>
        <w:tc>
          <w:tcPr>
            <w:tcW w:type="dxa" w:w="2561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적용 기준</w:t>
            </w:r>
          </w:p>
        </w:tc>
      </w:tr>
      <w:tr>
        <w:trPr>
          <w:cantSplit/>
        </w:trPr>
        <w:tc>
          <w:tcPr>
            <w:tcW w:type="dxa" w:w="20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다른 CPF Domain 호출</w:t>
            </w:r>
          </w:p>
        </w:tc>
        <w:tc>
          <w:tcPr>
            <w:tcW w:type="dxa" w:w="21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Typed Domain Call</w:t>
            </w:r>
          </w:p>
        </w:tc>
        <w:tc>
          <w:tcPr>
            <w:tcW w:type="dxa" w:w="374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LOCAL/REMOTE/AUTO 동일 계약</w:t>
            </w:r>
          </w:p>
        </w:tc>
        <w:tc>
          <w:tcPr>
            <w:tcW w:type="dxa" w:w="2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내부 업무 Operation</w:t>
            </w:r>
          </w:p>
        </w:tc>
      </w:tr>
      <w:tr>
        <w:trPr>
          <w:cantSplit/>
        </w:trPr>
        <w:tc>
          <w:tcPr>
            <w:tcW w:type="dxa" w:w="20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외부/원격 서비스</w:t>
            </w:r>
          </w:p>
        </w:tc>
        <w:tc>
          <w:tcPr>
            <w:tcW w:type="dxa" w:w="21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`CpfServiceCaller`</w:t>
            </w:r>
          </w:p>
        </w:tc>
        <w:tc>
          <w:tcPr>
            <w:tcW w:type="dxa" w:w="374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Registry·Health·Retry·UNKNOWN</w:t>
            </w:r>
          </w:p>
        </w:tc>
        <w:tc>
          <w:tcPr>
            <w:tcW w:type="dxa" w:w="2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HTTP 기반 Service Call</w:t>
            </w:r>
          </w:p>
        </w:tc>
      </w:tr>
      <w:tr>
        <w:trPr>
          <w:cantSplit/>
        </w:trPr>
        <w:tc>
          <w:tcPr>
            <w:tcW w:type="dxa" w:w="20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비동기 이벤트</w:t>
            </w:r>
          </w:p>
        </w:tc>
        <w:tc>
          <w:tcPr>
            <w:tcW w:type="dxa" w:w="21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Messaging/Event</w:t>
            </w:r>
          </w:p>
        </w:tc>
        <w:tc>
          <w:tcPr>
            <w:tcW w:type="dxa" w:w="374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Broker·Outbox/Inbox·DLQ</w:t>
            </w:r>
          </w:p>
        </w:tc>
        <w:tc>
          <w:tcPr>
            <w:tcW w:type="dxa" w:w="2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즉시 응답 불필요</w:t>
            </w:r>
          </w:p>
        </w:tc>
      </w:tr>
      <w:tr>
        <w:trPr>
          <w:cantSplit/>
        </w:trPr>
        <w:tc>
          <w:tcPr>
            <w:tcW w:type="dxa" w:w="20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고정길이/전문</w:t>
            </w:r>
          </w:p>
        </w:tc>
        <w:tc>
          <w:tcPr>
            <w:tcW w:type="dxa" w:w="21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Integration Codec</w:t>
            </w:r>
          </w:p>
        </w:tc>
        <w:tc>
          <w:tcPr>
            <w:tcW w:type="dxa" w:w="374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길이·Encoding·Field 검증</w:t>
            </w:r>
          </w:p>
        </w:tc>
        <w:tc>
          <w:tcPr>
            <w:tcW w:type="dxa" w:w="2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Legacy/전문 연계</w:t>
            </w:r>
          </w:p>
        </w:tc>
      </w:tr>
      <w:tr>
        <w:trPr>
          <w:cantSplit/>
        </w:trPr>
        <w:tc>
          <w:tcPr>
            <w:tcW w:type="dxa" w:w="20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파일 교환</w:t>
            </w:r>
          </w:p>
        </w:tc>
        <w:tc>
          <w:tcPr>
            <w:tcW w:type="dxa" w:w="21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SFTP/File</w:t>
            </w:r>
          </w:p>
        </w:tc>
        <w:tc>
          <w:tcPr>
            <w:tcW w:type="dxa" w:w="374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파일 전송·무결성</w:t>
            </w:r>
          </w:p>
        </w:tc>
        <w:tc>
          <w:tcPr>
            <w:tcW w:type="dxa" w:w="2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Batch 파일 연계</w:t>
            </w:r>
          </w:p>
        </w:tc>
      </w:tr>
      <w:tr>
        <w:trPr>
          <w:cantSplit/>
        </w:trPr>
        <w:tc>
          <w:tcPr>
            <w:tcW w:type="dxa" w:w="20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Object Storage</w:t>
            </w:r>
          </w:p>
        </w:tc>
        <w:tc>
          <w:tcPr>
            <w:tcW w:type="dxa" w:w="21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S3 Provider</w:t>
            </w:r>
          </w:p>
        </w:tc>
        <w:tc>
          <w:tcPr>
            <w:tcW w:type="dxa" w:w="374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Object 저장/조회</w:t>
            </w:r>
          </w:p>
        </w:tc>
        <w:tc>
          <w:tcPr>
            <w:tcW w:type="dxa" w:w="2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대용량 파일/저장소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2. Domain Call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6"/>
        <w:gridCol w:w="5129"/>
        <w:gridCol w:w="3467"/>
      </w:tblGrid>
      <w:tr>
        <w:trPr>
          <w:tblHeader w:val="true"/>
          <w:cantSplit/>
        </w:trPr>
        <w:tc>
          <w:tcPr>
            <w:tcW w:type="dxa" w:w="1886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Binding</w:t>
            </w:r>
          </w:p>
        </w:tc>
        <w:tc>
          <w:tcPr>
            <w:tcW w:type="dxa" w:w="5129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실행</w:t>
            </w:r>
          </w:p>
        </w:tc>
        <w:tc>
          <w:tcPr>
            <w:tcW w:type="dxa" w:w="3467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사용 기준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AUTO</w:t>
            </w:r>
          </w:p>
        </w:tc>
        <w:tc>
          <w:tcPr>
            <w:tcW w:type="dxa" w:w="512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Local Operation 우선, 없으면 Remote Binding</w:t>
            </w:r>
          </w:p>
        </w:tc>
        <w:tc>
          <w:tcPr>
            <w:tcW w:type="dxa" w:w="34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배포 형태 변경 가능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LOCAL</w:t>
            </w:r>
          </w:p>
        </w:tc>
        <w:tc>
          <w:tcPr>
            <w:tcW w:type="dxa" w:w="512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같은 JVM Operation 강제</w:t>
            </w:r>
          </w:p>
        </w:tc>
        <w:tc>
          <w:tcPr>
            <w:tcW w:type="dxa" w:w="34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통합 Runtime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REMOTE</w:t>
            </w:r>
          </w:p>
        </w:tc>
        <w:tc>
          <w:tcPr>
            <w:tcW w:type="dxa" w:w="512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Remote Transport 강제</w:t>
            </w:r>
          </w:p>
        </w:tc>
        <w:tc>
          <w:tcPr>
            <w:tcW w:type="dxa" w:w="346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분리 WAS/MSA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3. 외부 Service Call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6"/>
        <w:gridCol w:w="4861"/>
        <w:gridCol w:w="3735"/>
      </w:tblGrid>
      <w:tr>
        <w:trPr>
          <w:tblHeader w:val="true"/>
          <w:cantSplit/>
        </w:trPr>
        <w:tc>
          <w:tcPr>
            <w:tcW w:type="dxa" w:w="1886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옵션</w:t>
            </w:r>
          </w:p>
        </w:tc>
        <w:tc>
          <w:tcPr>
            <w:tcW w:type="dxa" w:w="4861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API</w:t>
            </w:r>
          </w:p>
        </w:tc>
        <w:tc>
          <w:tcPr>
            <w:tcW w:type="dxa" w:w="3735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역할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대상</w:t>
            </w:r>
          </w:p>
        </w:tc>
        <w:tc>
          <w:tcPr>
            <w:tcW w:type="dxa" w:w="48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`serviceId`</w:t>
            </w:r>
          </w:p>
        </w:tc>
        <w:tc>
          <w:tcPr>
            <w:tcW w:type="dxa" w:w="3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Service Registry 대상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Method</w:t>
            </w:r>
          </w:p>
        </w:tc>
        <w:tc>
          <w:tcPr>
            <w:tcW w:type="dxa" w:w="48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`httpMethod()`</w:t>
            </w:r>
          </w:p>
        </w:tc>
        <w:tc>
          <w:tcPr>
            <w:tcW w:type="dxa" w:w="3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HTTP Method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Path</w:t>
            </w:r>
          </w:p>
        </w:tc>
        <w:tc>
          <w:tcPr>
            <w:tcW w:type="dxa" w:w="48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`requestPath()`</w:t>
            </w:r>
          </w:p>
        </w:tc>
        <w:tc>
          <w:tcPr>
            <w:tcW w:type="dxa" w:w="3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상대 요청 경로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Timeout</w:t>
            </w:r>
          </w:p>
        </w:tc>
        <w:tc>
          <w:tcPr>
            <w:tcW w:type="dxa" w:w="48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`timeoutMillis()`</w:t>
            </w:r>
          </w:p>
        </w:tc>
        <w:tc>
          <w:tcPr>
            <w:tcW w:type="dxa" w:w="3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호출 제한 시간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Retry</w:t>
            </w:r>
          </w:p>
        </w:tc>
        <w:tc>
          <w:tcPr>
            <w:tcW w:type="dxa" w:w="48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`retryCount()`</w:t>
            </w:r>
          </w:p>
        </w:tc>
        <w:tc>
          <w:tcPr>
            <w:tcW w:type="dxa" w:w="3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재시도 횟수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Header</w:t>
            </w:r>
          </w:p>
        </w:tc>
        <w:tc>
          <w:tcPr>
            <w:tcW w:type="dxa" w:w="48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`header()`</w:t>
            </w:r>
          </w:p>
        </w:tc>
        <w:tc>
          <w:tcPr>
            <w:tcW w:type="dxa" w:w="3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표준/업무 Header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정책 정보</w:t>
            </w:r>
          </w:p>
        </w:tc>
        <w:tc>
          <w:tcPr>
            <w:tcW w:type="dxa" w:w="48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`attribute()`</w:t>
            </w:r>
          </w:p>
        </w:tc>
        <w:tc>
          <w:tcPr>
            <w:tcW w:type="dxa" w:w="373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허용된 호출 부가 정보</w:t>
            </w:r>
          </w:p>
        </w:tc>
      </w:tr>
    </w:tbl>
    <w:p>
      <w:pPr>
        <w:spacing w:after="60" w:line="269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rPr>
          <w:tblHeader w:val="true"/>
          <w:cantSplit/>
        </w:trPr>
        <w:tc>
          <w:tcPr>
            <w:tcW w:type="dxa" w:w="10092"/>
            <w:shd w:fill="F3F6F9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/>
                <w:color w:val="172B4D"/>
                <w:sz w:val="16"/>
              </w:rPr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>CpfServiceCallCommand command = CpfServiceCallCommand.builder("PAYMENT")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.httpMethod("POST")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.requestPath("/payments")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.timeoutMillis(2000)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.retryCount(1)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.header("X-TX-ID", transactionId)</w:t>
              <w:br/>
            </w:r>
            <w:r>
              <w:rPr>
                <w:rFonts w:ascii="Consolas" w:hAnsi="Consolas" w:eastAsia="D2Coding"/>
                <w:b/>
                <w:color w:val="172B4D"/>
                <w:sz w:val="16"/>
              </w:rPr>
              <w:t xml:space="preserve">    .build();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4. 결과 상태 처리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49"/>
        <w:gridCol w:w="3057"/>
        <w:gridCol w:w="5176"/>
      </w:tblGrid>
      <w:tr>
        <w:trPr>
          <w:tblHeader w:val="true"/>
          <w:cantSplit/>
        </w:trPr>
        <w:tc>
          <w:tcPr>
            <w:tcW w:type="dxa" w:w="2249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상태</w:t>
            </w:r>
          </w:p>
        </w:tc>
        <w:tc>
          <w:tcPr>
            <w:tcW w:type="dxa" w:w="3057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5176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후속 처리</w:t>
            </w:r>
          </w:p>
        </w:tc>
      </w:tr>
      <w:tr>
        <w:trPr>
          <w:cantSplit/>
        </w:trPr>
        <w:tc>
          <w:tcPr>
            <w:tcW w:type="dxa" w:w="22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SUCCESS</w:t>
            </w:r>
          </w:p>
        </w:tc>
        <w:tc>
          <w:tcPr>
            <w:tcW w:type="dxa" w:w="305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성공 확정</w:t>
            </w:r>
          </w:p>
        </w:tc>
        <w:tc>
          <w:tcPr>
            <w:tcW w:type="dxa" w:w="5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정상 처리</w:t>
            </w:r>
          </w:p>
        </w:tc>
      </w:tr>
      <w:tr>
        <w:trPr>
          <w:cantSplit/>
        </w:trPr>
        <w:tc>
          <w:tcPr>
            <w:tcW w:type="dxa" w:w="22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BUSINESS_FAILURE</w:t>
            </w:r>
          </w:p>
        </w:tc>
        <w:tc>
          <w:tcPr>
            <w:tcW w:type="dxa" w:w="305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상대 업무 실패 확정</w:t>
            </w:r>
          </w:p>
        </w:tc>
        <w:tc>
          <w:tcPr>
            <w:tcW w:type="dxa" w:w="5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업무 오류 분기</w:t>
            </w:r>
          </w:p>
        </w:tc>
      </w:tr>
      <w:tr>
        <w:trPr>
          <w:cantSplit/>
        </w:trPr>
        <w:tc>
          <w:tcPr>
            <w:tcW w:type="dxa" w:w="22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TECHNICAL_FAILURE</w:t>
            </w:r>
          </w:p>
        </w:tc>
        <w:tc>
          <w:tcPr>
            <w:tcW w:type="dxa" w:w="305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기술 실패 확정</w:t>
            </w:r>
          </w:p>
        </w:tc>
        <w:tc>
          <w:tcPr>
            <w:tcW w:type="dxa" w:w="5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멱등성 확인 후 Retry 판단</w:t>
            </w:r>
          </w:p>
        </w:tc>
      </w:tr>
      <w:tr>
        <w:trPr>
          <w:cantSplit/>
        </w:trPr>
        <w:tc>
          <w:tcPr>
            <w:tcW w:type="dxa" w:w="224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UNKNOWN</w:t>
            </w:r>
          </w:p>
        </w:tc>
        <w:tc>
          <w:tcPr>
            <w:tcW w:type="dxa" w:w="305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Side Effect 결과 불명</w:t>
            </w:r>
          </w:p>
        </w:tc>
        <w:tc>
          <w:tcPr>
            <w:tcW w:type="dxa" w:w="51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recoveryId/거래 식별자로 조회·대사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5. Timeout·Retry 기준</w:t>
      </w:r>
    </w:p>
    <w:p>
      <w:pPr>
        <w:pStyle w:val="ListBullet"/>
        <w:spacing w:after="24"/>
        <w:ind w:left="227"/>
      </w:pPr>
      <w:r>
        <w:t>Connection/Read/전체 업무 Deadline을 같은 값으로 취급하지 않습니다.</w:t>
      </w:r>
    </w:p>
    <w:p>
      <w:pPr>
        <w:pStyle w:val="ListBullet"/>
        <w:spacing w:after="24"/>
        <w:ind w:left="227"/>
      </w:pPr>
      <w:r>
        <w:t>Retry 전에 호출이 멱등하거나 Idempotency Key를 지원하는지 확인합니다.</w:t>
      </w:r>
    </w:p>
    <w:p>
      <w:pPr>
        <w:pStyle w:val="ListBullet"/>
        <w:spacing w:after="24"/>
        <w:ind w:left="227"/>
      </w:pPr>
      <w:r>
        <w:t>Timeout 뒤 상대 Side Effect 가능성이 있으면 UNKNOWN으로 처리합니다.</w:t>
      </w:r>
    </w:p>
    <w:p>
      <w:pPr>
        <w:pStyle w:val="ListBullet"/>
        <w:spacing w:after="24"/>
        <w:ind w:left="227"/>
      </w:pPr>
      <w:r>
        <w:t>Retry 횟수와 Circuit 정책은 전체 Deadline Budget 안에서 결정합니다.</w:t>
      </w:r>
    </w:p>
    <w:p>
      <w:pPr>
        <w:pStyle w:val="Heading1"/>
      </w:pPr>
      <w:r>
        <w:t>6. Messaging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6"/>
        <w:gridCol w:w="3440"/>
        <w:gridCol w:w="5156"/>
      </w:tblGrid>
      <w:tr>
        <w:trPr>
          <w:tblHeader w:val="true"/>
          <w:cantSplit/>
        </w:trPr>
        <w:tc>
          <w:tcPr>
            <w:tcW w:type="dxa" w:w="1886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Provider</w:t>
            </w:r>
          </w:p>
        </w:tc>
        <w:tc>
          <w:tcPr>
            <w:tcW w:type="dxa" w:w="3440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적용</w:t>
            </w:r>
          </w:p>
        </w:tc>
        <w:tc>
          <w:tcPr>
            <w:tcW w:type="dxa" w:w="5156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공통 확인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Kafka</w:t>
            </w:r>
          </w:p>
        </w:tc>
        <w:tc>
          <w:tcPr>
            <w:tcW w:type="dxa" w:w="3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Event Stream/비동기 처리</w:t>
            </w:r>
          </w:p>
        </w:tc>
        <w:tc>
          <w:tcPr>
            <w:tcW w:type="dxa" w:w="51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Key·Partition·Offset·DLQ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RabbitMQ</w:t>
            </w:r>
          </w:p>
        </w:tc>
        <w:tc>
          <w:tcPr>
            <w:tcW w:type="dxa" w:w="3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Queue/Routing 중심</w:t>
            </w:r>
          </w:p>
        </w:tc>
        <w:tc>
          <w:tcPr>
            <w:tcW w:type="dxa" w:w="51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Ack·Retry·DLQ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JMS</w:t>
            </w:r>
          </w:p>
        </w:tc>
        <w:tc>
          <w:tcPr>
            <w:tcW w:type="dxa" w:w="3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표준 JMS 연계</w:t>
            </w:r>
          </w:p>
        </w:tc>
        <w:tc>
          <w:tcPr>
            <w:tcW w:type="dxa" w:w="51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Transaction/Ack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IBM MQ</w:t>
            </w:r>
          </w:p>
        </w:tc>
        <w:tc>
          <w:tcPr>
            <w:tcW w:type="dxa" w:w="3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기업 MQ 연계</w:t>
            </w:r>
          </w:p>
        </w:tc>
        <w:tc>
          <w:tcPr>
            <w:tcW w:type="dxa" w:w="51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Queue Manager·Channel·보안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7. 전문·파일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6"/>
        <w:gridCol w:w="5234"/>
        <w:gridCol w:w="3362"/>
      </w:tblGrid>
      <w:tr>
        <w:trPr>
          <w:tblHeader w:val="true"/>
          <w:cantSplit/>
        </w:trPr>
        <w:tc>
          <w:tcPr>
            <w:tcW w:type="dxa" w:w="1886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5234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핵심 확인</w:t>
            </w:r>
          </w:p>
        </w:tc>
        <w:tc>
          <w:tcPr>
            <w:tcW w:type="dxa" w:w="3362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운영 확인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고정길이 전문</w:t>
            </w:r>
          </w:p>
        </w:tc>
        <w:tc>
          <w:tcPr>
            <w:tcW w:type="dxa" w:w="52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Field 길이·Padding·Encoding·필수값</w:t>
            </w:r>
          </w:p>
        </w:tc>
        <w:tc>
          <w:tcPr>
            <w:tcW w:type="dxa" w:w="336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원문 마스킹·Parse 오류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ISO8583</w:t>
            </w:r>
          </w:p>
        </w:tc>
        <w:tc>
          <w:tcPr>
            <w:tcW w:type="dxa" w:w="52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MTI·Bitmap·Field 정의</w:t>
            </w:r>
          </w:p>
        </w:tc>
        <w:tc>
          <w:tcPr>
            <w:tcW w:type="dxa" w:w="336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전문 식별자·응답 코드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SFTP/File</w:t>
            </w:r>
          </w:p>
        </w:tc>
        <w:tc>
          <w:tcPr>
            <w:tcW w:type="dxa" w:w="52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파일명·Encoding·Checksum·재수신 기준</w:t>
            </w:r>
          </w:p>
        </w:tc>
        <w:tc>
          <w:tcPr>
            <w:tcW w:type="dxa" w:w="336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전송/수신 상태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S3 Object</w:t>
            </w:r>
          </w:p>
        </w:tc>
        <w:tc>
          <w:tcPr>
            <w:tcW w:type="dxa" w:w="52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Bucket/Key·Metadata·권한</w:t>
            </w:r>
          </w:p>
        </w:tc>
        <w:tc>
          <w:tcPr>
            <w:tcW w:type="dxa" w:w="336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Object 존재/Version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8. 공통 Header·Context</w:t>
      </w:r>
    </w:p>
    <w:p>
      <w:pPr>
        <w:pStyle w:val="ListBullet"/>
        <w:spacing w:after="24"/>
        <w:ind w:left="227"/>
      </w:pPr>
      <w:r>
        <w:t>필수 Header와 transactionId가 경계를 넘어 유지되는지 확인합니다.</w:t>
      </w:r>
    </w:p>
    <w:p>
      <w:pPr>
        <w:pStyle w:val="ListBullet"/>
        <w:spacing w:after="24"/>
        <w:ind w:left="227"/>
      </w:pPr>
      <w:r>
        <w:t>민감정보와 Secret은 Header/Log/Evidence에 원문으로 남기지 않습니다.</w:t>
      </w:r>
    </w:p>
    <w:p>
      <w:pPr>
        <w:pStyle w:val="ListBullet"/>
        <w:spacing w:after="24"/>
        <w:ind w:left="227"/>
      </w:pPr>
      <w:r>
        <w:t>분리 Runtime의 Endpoint·Credential·Certificate는 환경 Config로 관리합니다.</w:t>
      </w:r>
    </w:p>
    <w:p>
      <w:pPr>
        <w:pStyle w:val="ListBullet"/>
        <w:spacing w:after="24"/>
        <w:ind w:left="227"/>
      </w:pPr>
      <w:r>
        <w:t>재처리 시 원 거래 식별자와 신규 실행 식별자를 연결합니다.</w:t>
      </w:r>
    </w:p>
    <w:p>
      <w:pPr>
        <w:pStyle w:val="Heading1"/>
      </w:pPr>
      <w:r>
        <w:t>9. 코드·예제 참조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34"/>
        <w:gridCol w:w="7548"/>
      </w:tblGrid>
      <w:tr>
        <w:trPr>
          <w:tblHeader w:val="true"/>
          <w:cantSplit/>
        </w:trPr>
        <w:tc>
          <w:tcPr>
            <w:tcW w:type="dxa" w:w="2934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대상</w:t>
            </w:r>
          </w:p>
        </w:tc>
        <w:tc>
          <w:tcPr>
            <w:tcW w:type="dxa" w:w="7548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위치</w:t>
            </w:r>
          </w:p>
        </w:tc>
      </w:tr>
      <w:tr>
        <w:trPr>
          <w:cantSplit/>
        </w:trPr>
        <w:tc>
          <w:tcPr>
            <w:tcW w:type="dxa" w:w="29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Domain Call API</w:t>
            </w:r>
          </w:p>
        </w:tc>
        <w:tc>
          <w:tcPr>
            <w:tcW w:type="dxa" w:w="75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`cpf-starters/integration/src/main/java/com/cpf/integration/api/domaincall/**`</w:t>
            </w:r>
          </w:p>
        </w:tc>
      </w:tr>
      <w:tr>
        <w:trPr>
          <w:cantSplit/>
        </w:trPr>
        <w:tc>
          <w:tcPr>
            <w:tcW w:type="dxa" w:w="29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Service Call API</w:t>
            </w:r>
          </w:p>
        </w:tc>
        <w:tc>
          <w:tcPr>
            <w:tcW w:type="dxa" w:w="75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`cpf-starters/integration/src/main/java/com/cpf/integration/api/servicecall/**`</w:t>
            </w:r>
          </w:p>
        </w:tc>
      </w:tr>
      <w:tr>
        <w:trPr>
          <w:cantSplit/>
        </w:trPr>
        <w:tc>
          <w:tcPr>
            <w:tcW w:type="dxa" w:w="29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HTTP Runtime</w:t>
            </w:r>
          </w:p>
        </w:tc>
        <w:tc>
          <w:tcPr>
            <w:tcW w:type="dxa" w:w="75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`cpf-starters/integration/http/**`</w:t>
            </w:r>
          </w:p>
        </w:tc>
      </w:tr>
      <w:tr>
        <w:trPr>
          <w:cantSplit/>
        </w:trPr>
        <w:tc>
          <w:tcPr>
            <w:tcW w:type="dxa" w:w="29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Messaging</w:t>
            </w:r>
          </w:p>
        </w:tc>
        <w:tc>
          <w:tcPr>
            <w:tcW w:type="dxa" w:w="75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`cpf-starters/messaging/**`</w:t>
            </w:r>
          </w:p>
        </w:tc>
      </w:tr>
      <w:tr>
        <w:trPr>
          <w:cantSplit/>
        </w:trPr>
        <w:tc>
          <w:tcPr>
            <w:tcW w:type="dxa" w:w="29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전문/고정길이</w:t>
            </w:r>
          </w:p>
        </w:tc>
        <w:tc>
          <w:tcPr>
            <w:tcW w:type="dxa" w:w="75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`cpf-starters/integration/**`, `cpf-docs/architecture/EXTERNAL_FIXED_LENGTH_FILE_GUIDE.md`</w:t>
            </w:r>
          </w:p>
        </w:tc>
      </w:tr>
      <w:tr>
        <w:trPr>
          <w:cantSplit/>
        </w:trPr>
        <w:tc>
          <w:tcPr>
            <w:tcW w:type="dxa" w:w="293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Education</w:t>
            </w:r>
          </w:p>
        </w:tc>
        <w:tc>
          <w:tcPr>
            <w:tcW w:type="dxa" w:w="75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`cpf-education/**`</w:t>
            </w:r>
          </w:p>
        </w:tc>
      </w:tr>
    </w:tbl>
    <w:p>
      <w:pPr>
        <w:spacing w:after="60" w:line="269" w:lineRule="auto"/>
      </w:pP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f-domain-call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822" w:right="879" w:bottom="765" w:left="87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5"/>
      </w:rPr>
      <w:t>06_외부연계_메시징_파일_가이드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drawing>
        <wp:inline xmlns:a="http://schemas.openxmlformats.org/drawingml/2006/main" xmlns:pic="http://schemas.openxmlformats.org/drawingml/2006/picture">
          <wp:extent cx="1260000" cy="5985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0000" cy="5985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Noto Sans CJK KR" w:hAnsi="Noto Sans CJK KR" w:eastAsia="Noto Sans CJK KR"/>
      <w:color w:val="172B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23B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2B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68C8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23B7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color w:val="172B4D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/>
      <w:color w:val="172B4D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