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b/>
        </w:rPr>
        <w:t>CPF CI 사용 가이드</w:t>
      </w:r>
    </w:p>
    <w:p>
      <w:pPr>
        <w:spacing w:after="60" w:line="269" w:lineRule="auto"/>
      </w:pPr>
      <w:r>
        <w:rPr>
          <w:color w:val="667085"/>
          <w:sz w:val="20"/>
        </w:rPr>
        <w:t>CPF 공식 시각 언어를 README, 사용자 문서, ADM/BZA, Web Header와 아이콘에 일관되게 적용하는 기준</w:t>
      </w:r>
    </w:p>
    <w:p>
      <w:pPr>
        <w:spacing w:after="60" w:line="269" w:lineRule="auto"/>
      </w:pPr>
      <w:r>
        <w:rPr>
          <w:b/>
          <w:color w:val="0C7780"/>
          <w:sz w:val="15"/>
        </w:rPr>
        <w:t>CPF  |  Core Platform Framework  |  사용자 산출물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6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ci-master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4748B"/>
          <w:sz w:val="15"/>
        </w:rPr>
        <w:t>그림 1. CPF 정식 CI - 조립형 모듈, 중앙 Core 광원, 확장 블록</w:t>
      </w:r>
    </w:p>
    <w:p>
      <w:pPr>
        <w:pStyle w:val="Heading1"/>
      </w:pPr>
      <w:r>
        <w:t>1. CI가 표현하는 의미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4893"/>
        <w:gridCol w:w="3796"/>
      </w:tblGrid>
      <w:tr>
        <w:trPr>
          <w:tblHeader w:val="true"/>
          <w:cantSplit/>
        </w:trPr>
        <w:tc>
          <w:tcPr>
            <w:tcW w:type="dxa" w:w="190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형상</w:t>
            </w:r>
          </w:p>
        </w:tc>
        <w:tc>
          <w:tcPr>
            <w:tcW w:type="dxa" w:w="489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79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CPF와의 연결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조립형 링</w:t>
            </w:r>
          </w:p>
        </w:tc>
        <w:tc>
          <w:tcPr>
            <w:tcW w:type="dxa" w:w="489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검증된 기능을 필요한 만큼 조합</w:t>
            </w:r>
          </w:p>
        </w:tc>
        <w:tc>
          <w:tcPr>
            <w:tcW w:type="dxa" w:w="37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Starter/기능군 선택</w:t>
            </w:r>
          </w:p>
        </w:tc>
      </w:tr>
      <w:tr>
        <w:trPr>
          <w:cantSplit/>
        </w:trPr>
        <w:tc>
          <w:tcPr>
            <w:tcW w:type="dxa" w:w="190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중앙 Core 광원</w:t>
            </w:r>
          </w:p>
        </w:tc>
        <w:tc>
          <w:tcPr>
            <w:tcW w:type="dxa" w:w="489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기반이 위 기능을 안정적으로 지지</w:t>
            </w:r>
          </w:p>
        </w:tc>
        <w:tc>
          <w:tcPr>
            <w:tcW w:type="dxa" w:w="379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cpf-core와 공통 계약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상승 블록</w:t>
            </w:r>
          </w:p>
        </w:tc>
        <w:tc>
          <w:tcPr>
            <w:tcW w:type="dxa" w:w="489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각 기능과 업무 Domain이 독립적으로 확장</w:t>
            </w:r>
          </w:p>
        </w:tc>
        <w:tc>
          <w:tcPr>
            <w:tcW w:type="dxa" w:w="37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Domain, Provider, Runtime 확장</w:t>
            </w:r>
          </w:p>
        </w:tc>
      </w:tr>
      <w:tr>
        <w:trPr>
          <w:cantSplit/>
        </w:trPr>
        <w:tc>
          <w:tcPr>
            <w:tcW w:type="dxa" w:w="190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원형 흐름</w:t>
            </w:r>
          </w:p>
        </w:tc>
        <w:tc>
          <w:tcPr>
            <w:tcW w:type="dxa" w:w="489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기능을 단순 쌓는 것이 아니라 연결·조율</w:t>
            </w:r>
          </w:p>
        </w:tc>
        <w:tc>
          <w:tcPr>
            <w:tcW w:type="dxa" w:w="379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거래·연계 오케스트레이션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제공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0"/>
        <w:gridCol w:w="5706"/>
      </w:tblGrid>
      <w:tr>
        <w:trPr>
          <w:tblHeader w:val="true"/>
          <w:cantSplit/>
        </w:trPr>
        <w:tc>
          <w:tcPr>
            <w:tcW w:type="dxa" w:w="489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570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권장 용도</w:t>
            </w:r>
          </w:p>
        </w:tc>
      </w:tr>
      <w:tr>
        <w:trPr>
          <w:cantSplit/>
        </w:trPr>
        <w:tc>
          <w:tcPr>
            <w:tcW w:type="dxa" w:w="489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`cpf-ci-master-board.png`</w:t>
            </w:r>
          </w:p>
        </w:tc>
        <w:tc>
          <w:tcPr>
            <w:tcW w:type="dxa" w:w="57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CI 원본 보드/내부 디자인 기준</w:t>
            </w:r>
          </w:p>
        </w:tc>
      </w:tr>
      <w:tr>
        <w:trPr>
          <w:cantSplit/>
        </w:trPr>
        <w:tc>
          <w:tcPr>
            <w:tcW w:type="dxa" w:w="489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`cpf-ci-hero-dark.png`</w:t>
            </w:r>
          </w:p>
        </w:tc>
        <w:tc>
          <w:tcPr>
            <w:tcW w:type="dxa" w:w="570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README/Hero/소개 페이지</w:t>
            </w:r>
          </w:p>
        </w:tc>
      </w:tr>
      <w:tr>
        <w:trPr>
          <w:cantSplit/>
        </w:trPr>
        <w:tc>
          <w:tcPr>
            <w:tcW w:type="dxa" w:w="489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`cpf-ci-header-dark.png`</w:t>
            </w:r>
          </w:p>
        </w:tc>
        <w:tc>
          <w:tcPr>
            <w:tcW w:type="dxa" w:w="57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ADM/BZA/Web Header, 문서 상단</w:t>
            </w:r>
          </w:p>
        </w:tc>
      </w:tr>
      <w:tr>
        <w:trPr>
          <w:cantSplit/>
        </w:trPr>
        <w:tc>
          <w:tcPr>
            <w:tcW w:type="dxa" w:w="489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`cpf-ci-symbol-dark.png`</w:t>
            </w:r>
          </w:p>
        </w:tc>
        <w:tc>
          <w:tcPr>
            <w:tcW w:type="dxa" w:w="570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작은 Symbol</w:t>
            </w:r>
          </w:p>
        </w:tc>
      </w:tr>
      <w:tr>
        <w:trPr>
          <w:cantSplit/>
        </w:trPr>
        <w:tc>
          <w:tcPr>
            <w:tcW w:type="dxa" w:w="489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`cpf-ci-app-icon-dark.png`</w:t>
            </w:r>
          </w:p>
        </w:tc>
        <w:tc>
          <w:tcPr>
            <w:tcW w:type="dxa" w:w="57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App/Icon/Favicon 제작 기준</w:t>
            </w:r>
          </w:p>
        </w:tc>
      </w:tr>
      <w:tr>
        <w:trPr>
          <w:cantSplit/>
        </w:trPr>
        <w:tc>
          <w:tcPr>
            <w:tcW w:type="dxa" w:w="489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`cpf-ci-key-visual.png`</w:t>
            </w:r>
          </w:p>
        </w:tc>
        <w:tc>
          <w:tcPr>
            <w:tcW w:type="dxa" w:w="570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표지/발표/소개 Key Visual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사용 원칙</w:t>
      </w:r>
    </w:p>
    <w:p>
      <w:pPr>
        <w:pStyle w:val="ListBullet"/>
        <w:spacing w:after="20" w:line="252" w:lineRule="auto"/>
      </w:pPr>
      <w:r>
        <w:rPr>
          <w:sz w:val="18"/>
        </w:rPr>
        <w:t>Logo 비율을 임의로 늘이거나 찌그러뜨리지 않습니다.</w:t>
      </w:r>
    </w:p>
    <w:p>
      <w:pPr>
        <w:pStyle w:val="ListBullet"/>
        <w:spacing w:after="20" w:line="252" w:lineRule="auto"/>
      </w:pPr>
      <w:r>
        <w:rPr>
          <w:sz w:val="18"/>
        </w:rPr>
        <w:t>문서 안에서는 Header Logo를 작게 사용하고 Key Visual을 모든 페이지에 반복하지 않습니다.</w:t>
      </w:r>
    </w:p>
    <w:p>
      <w:pPr>
        <w:pStyle w:val="ListBullet"/>
        <w:spacing w:after="20" w:line="252" w:lineRule="auto"/>
      </w:pPr>
      <w:r>
        <w:rPr>
          <w:sz w:val="18"/>
        </w:rPr>
        <w:t>Architecture/Flow 그림은 Navy 기반과 Blue/Purple/Orange 포인트를 사용해 CI와 같은 시각 언어를 유지합니다.</w:t>
      </w:r>
    </w:p>
    <w:p>
      <w:pPr>
        <w:pStyle w:val="ListBullet"/>
        <w:spacing w:after="20" w:line="252" w:lineRule="auto"/>
      </w:pPr>
      <w:r>
        <w:rPr>
          <w:sz w:val="18"/>
        </w:rPr>
        <w:t>작은 화면에서는 복잡한 Key Visual 대신 Header/Symbol 자산을 사용합니다.</w:t>
      </w:r>
    </w:p>
    <w:p>
      <w:pPr>
        <w:pStyle w:val="ListBullet"/>
        <w:spacing w:after="20" w:line="252" w:lineRule="auto"/>
      </w:pPr>
      <w:r>
        <w:rPr>
          <w:sz w:val="18"/>
        </w:rPr>
        <w:t>ADM/BZA Header에서는 심볼 + CPF Wordmark 조합을 우선합니다.</w:t>
      </w:r>
    </w:p>
    <w:p>
      <w:pPr>
        <w:pStyle w:val="Heading1"/>
      </w:pPr>
      <w:r>
        <w:t>4. 적용 위치별 권장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0"/>
        <w:gridCol w:w="3748"/>
        <w:gridCol w:w="3988"/>
      </w:tblGrid>
      <w:tr>
        <w:trPr>
          <w:tblHeader w:val="true"/>
          <w:cantSplit/>
        </w:trPr>
        <w:tc>
          <w:tcPr>
            <w:tcW w:type="dxa" w:w="286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적용 위치</w:t>
            </w:r>
          </w:p>
        </w:tc>
        <w:tc>
          <w:tcPr>
            <w:tcW w:type="dxa" w:w="374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권장 자산</w:t>
            </w:r>
          </w:p>
        </w:tc>
        <w:tc>
          <w:tcPr>
            <w:tcW w:type="dxa" w:w="39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README/Hero</w:t>
            </w:r>
          </w:p>
        </w:tc>
        <w:tc>
          <w:tcPr>
            <w:tcW w:type="dxa" w:w="37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`cpf-ci-hero-dark.png`</w:t>
            </w:r>
          </w:p>
        </w:tc>
        <w:tc>
          <w:tcPr>
            <w:tcW w:type="dxa" w:w="39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첫 화면에서 CPF의 조립·Core·확장 이미지를 크게 표현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DOCX/PDF Header</w:t>
            </w:r>
          </w:p>
        </w:tc>
        <w:tc>
          <w:tcPr>
            <w:tcW w:type="dxa" w:w="374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`cpf-ci-header-dark.png`</w:t>
            </w:r>
          </w:p>
        </w:tc>
        <w:tc>
          <w:tcPr>
            <w:tcW w:type="dxa" w:w="398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문서 상단에 작게 고정, 본문 정보 밀도 방해 금지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ADM/BZA/Web Header</w:t>
            </w:r>
          </w:p>
        </w:tc>
        <w:tc>
          <w:tcPr>
            <w:tcW w:type="dxa" w:w="37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`cpf-ci-header-dark.png`</w:t>
            </w:r>
          </w:p>
        </w:tc>
        <w:tc>
          <w:tcPr>
            <w:tcW w:type="dxa" w:w="39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심볼 + CPF Wordmark 조합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App/Menu/Favicon</w:t>
            </w:r>
          </w:p>
        </w:tc>
        <w:tc>
          <w:tcPr>
            <w:tcW w:type="dxa" w:w="374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`cpf-ci-app-icon-dark.png` / Symbol</w:t>
            </w:r>
          </w:p>
        </w:tc>
        <w:tc>
          <w:tcPr>
            <w:tcW w:type="dxa" w:w="398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작은 크기에서도 식별 가능한 축약형 사용</w:t>
            </w:r>
          </w:p>
        </w:tc>
      </w:tr>
      <w:tr>
        <w:trPr>
          <w:cantSplit/>
        </w:trPr>
        <w:tc>
          <w:tcPr>
            <w:tcW w:type="dxa" w:w="28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Architecture/발표</w:t>
            </w:r>
          </w:p>
        </w:tc>
        <w:tc>
          <w:tcPr>
            <w:tcW w:type="dxa" w:w="37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`cpf-ci-key-visual.png`</w:t>
            </w:r>
          </w:p>
        </w:tc>
        <w:tc>
          <w:tcPr>
            <w:tcW w:type="dxa" w:w="39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설명 가치가 있는 대표 페이지에서만 사용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/>
      <w:r>
        <w:t>5. 적용·전달 기준</w:t>
      </w:r>
    </w:p>
    <w:p>
      <w:pPr>
        <w:pStyle w:val="ListBullet"/>
        <w:spacing w:after="20" w:line="252" w:lineRule="auto"/>
      </w:pPr>
      <w:r>
        <w:rPr>
          <w:sz w:val="18"/>
        </w:rPr>
        <w:t>공통 자산 Root는 `cpf-docs/assets/brand/`입니다.</w:t>
      </w:r>
    </w:p>
    <w:p>
      <w:pPr>
        <w:pStyle w:val="ListBullet"/>
        <w:spacing w:after="20" w:line="252" w:lineRule="auto"/>
      </w:pPr>
      <w:r>
        <w:rPr>
          <w:sz w:val="18"/>
        </w:rPr>
        <w:t>UI 구현에서는 원본 보드를 잘라 새 로고를 만들지 말고 제공된 Header/Symbol/App 자산을 사용합니다.</w:t>
      </w:r>
    </w:p>
    <w:p>
      <w:pPr>
        <w:pStyle w:val="ListBullet"/>
        <w:spacing w:after="20" w:line="252" w:lineRule="auto"/>
      </w:pPr>
      <w:r>
        <w:rPr>
          <w:sz w:val="18"/>
        </w:rPr>
        <w:t>새 서브브랜드가 필요하면 메인 심볼을 임의 변형하기보다 명칭/색상 보조체계를 추가합니다.</w:t>
      </w:r>
    </w:p>
    <w:p>
      <w:pPr>
        <w:pStyle w:val="ListBullet"/>
        <w:spacing w:after="20" w:line="252" w:lineRule="auto"/>
      </w:pPr>
      <w:r>
        <w:rPr>
          <w:sz w:val="18"/>
        </w:rPr>
        <w:t>밝은 배경에서 대비가 부족하면 Header가 아니라 Symbol/Wordmark용 별도 단색 파생본을 디자인 검토 후 추가합니다.</w:t>
      </w:r>
    </w:p>
    <w:sectPr w:rsidR="00FC693F" w:rsidRPr="0006063C" w:rsidSect="00034616">
      <w:footerReference w:type="default" r:id="rId10"/>
      <w:headerReference w:type="default" r:id="rId12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CPF_CI_사용가이드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