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기술표준서</w:t>
      </w:r>
    </w:p>
    <w:p>
      <w:pPr>
        <w:spacing w:after="60" w:line="269" w:lineRule="auto"/>
      </w:pPr>
      <w:r>
        <w:rPr>
          <w:color w:val="667085"/>
          <w:sz w:val="20"/>
        </w:rPr>
        <w:t>업무 개발과 분산 호출, 데이터, 동시성, 운영 추적에 적용하는 CPF 개발 표준</w:t>
      </w:r>
    </w:p>
    <w:p>
      <w:pPr>
        <w:spacing w:after="60" w:line="269" w:lineRule="auto"/>
      </w:pPr>
      <w:r>
        <w:rPr>
          <w:b/>
          <w:color w:val="0C7780"/>
          <w:sz w:val="15"/>
        </w:rPr>
        <w:t>CPF  |  Core Platform Framework  |  사용자 산출물</w:t>
      </w:r>
    </w:p>
    <w:p>
      <w:pPr>
        <w:spacing w:after="60" w:line="269" w:lineRule="auto"/>
      </w:pPr>
      <w:r>
        <w:rPr>
          <w:color w:val="667085"/>
          <w:sz w:val="14"/>
        </w:rPr>
        <w:t>기준 Source: master bd5fcd7707cfbba366071e7e4556c5cbb9b974bc  ·  2026-08-15</w:t>
      </w:r>
    </w:p>
    <w:p>
      <w:pPr>
        <w:pStyle w:val="Heading1"/>
      </w:pPr>
      <w:r>
        <w:t>1. 표준 개발 흐름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5130"/>
        <w:gridCol w:w="3653"/>
      </w:tblGrid>
      <w:tr>
        <w:trPr>
          <w:tblHeader w:val="true"/>
          <w:cantSplit/>
        </w:trPr>
        <w:tc>
          <w:tcPr>
            <w:tcW w:type="dxa" w:w="192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513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표준 책임</w:t>
            </w:r>
          </w:p>
        </w:tc>
        <w:tc>
          <w:tcPr>
            <w:tcW w:type="dxa" w:w="365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금지/주의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Controller</w:t>
            </w:r>
          </w:p>
        </w:tc>
        <w:tc>
          <w:tcPr>
            <w:tcW w:type="dxa" w:w="51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Request/Response, Validation, HTTP 경계</w:t>
            </w:r>
          </w:p>
        </w:tc>
        <w:tc>
          <w:tcPr>
            <w:tcW w:type="dxa" w:w="365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DB/외부연계 직접 호출 금지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Service</w:t>
            </w:r>
          </w:p>
        </w:tc>
        <w:tc>
          <w:tcPr>
            <w:tcW w:type="dxa" w:w="513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규칙, Transaction, Domain/External Boundary</w:t>
            </w:r>
          </w:p>
        </w:tc>
        <w:tc>
          <w:tcPr>
            <w:tcW w:type="dxa" w:w="3653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Provider 내부 타입 누출 금지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Repository/DAO Port</w:t>
            </w:r>
          </w:p>
        </w:tc>
        <w:tc>
          <w:tcPr>
            <w:tcW w:type="dxa" w:w="51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데이터 접근 계약</w:t>
            </w:r>
          </w:p>
        </w:tc>
        <w:tc>
          <w:tcPr>
            <w:tcW w:type="dxa" w:w="365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특정 SQL/Framework 타입 상위 계층 노출 금지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Provider Adapter</w:t>
            </w:r>
          </w:p>
        </w:tc>
        <w:tc>
          <w:tcPr>
            <w:tcW w:type="dxa" w:w="513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JDBC/MyBatis/JPA/Integration 구현</w:t>
            </w:r>
          </w:p>
        </w:tc>
        <w:tc>
          <w:tcPr>
            <w:tcW w:type="dxa" w:w="3653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Public 계약 보존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실행 자원</w:t>
            </w:r>
          </w:p>
        </w:tc>
        <w:tc>
          <w:tcPr>
            <w:tcW w:type="dxa" w:w="51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DB/외부/메시징</w:t>
            </w:r>
          </w:p>
        </w:tc>
        <w:tc>
          <w:tcPr>
            <w:tcW w:type="dxa" w:w="365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Timeout/동시성/UNKNOWN/추적 고려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2. 데이터 접근 표준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4075"/>
        <w:gridCol w:w="4708"/>
      </w:tblGrid>
      <w:tr>
        <w:trPr>
          <w:tblHeader w:val="true"/>
          <w:cantSplit/>
        </w:trPr>
        <w:tc>
          <w:tcPr>
            <w:tcW w:type="dxa" w:w="192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요구</w:t>
            </w:r>
          </w:p>
        </w:tc>
        <w:tc>
          <w:tcPr>
            <w:tcW w:type="dxa" w:w="407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표준 선택</w:t>
            </w:r>
          </w:p>
        </w:tc>
        <w:tc>
          <w:tcPr>
            <w:tcW w:type="dxa" w:w="470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판단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단순 CRUD</w:t>
            </w:r>
          </w:p>
        </w:tc>
        <w:tc>
          <w:tcPr>
            <w:tcW w:type="dxa" w:w="407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CpfCrudRepositoryPort</w:t>
            </w:r>
          </w:p>
        </w:tc>
        <w:tc>
          <w:tcPr>
            <w:tcW w:type="dxa" w:w="47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Aggregate CRUD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검색/페이징</w:t>
            </w:r>
          </w:p>
        </w:tc>
        <w:tc>
          <w:tcPr>
            <w:tcW w:type="dxa" w:w="4075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CpfSearchRepositoryPort</w:t>
            </w:r>
          </w:p>
        </w:tc>
        <w:tc>
          <w:tcPr>
            <w:tcW w:type="dxa" w:w="470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Page/Slice/Cursor 선택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대량 변경</w:t>
            </w:r>
          </w:p>
        </w:tc>
        <w:tc>
          <w:tcPr>
            <w:tcW w:type="dxa" w:w="407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CpfBulkRepositoryPort</w:t>
            </w:r>
          </w:p>
        </w:tc>
        <w:tc>
          <w:tcPr>
            <w:tcW w:type="dxa" w:w="47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제한형 대량 처리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잠금 조회</w:t>
            </w:r>
          </w:p>
        </w:tc>
        <w:tc>
          <w:tcPr>
            <w:tcW w:type="dxa" w:w="4075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CpfLockingRepositoryPort</w:t>
            </w:r>
          </w:p>
        </w:tc>
        <w:tc>
          <w:tcPr>
            <w:tcW w:type="dxa" w:w="470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Version으로 부족한 invariant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고급 Provider 기능</w:t>
            </w:r>
          </w:p>
        </w:tc>
        <w:tc>
          <w:tcPr>
            <w:tcW w:type="dxa" w:w="407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`nativeRepository()`</w:t>
            </w:r>
          </w:p>
        </w:tc>
        <w:tc>
          <w:tcPr>
            <w:tcW w:type="dxa" w:w="47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공통 계약으로 표현 불가할 때 제한 사용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정렬</w:t>
            </w:r>
          </w:p>
        </w:tc>
        <w:tc>
          <w:tcPr>
            <w:tcW w:type="dxa" w:w="4075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Allow-list</w:t>
            </w:r>
          </w:p>
        </w:tc>
        <w:tc>
          <w:tcPr>
            <w:tcW w:type="dxa" w:w="470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사용자 입력 Column 직접 조합 금지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3. Transaction과 분산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7"/>
        <w:gridCol w:w="7583"/>
      </w:tblGrid>
      <w:tr>
        <w:trPr>
          <w:tblHeader w:val="true"/>
          <w:cantSplit/>
        </w:trPr>
        <w:tc>
          <w:tcPr>
            <w:tcW w:type="dxa" w:w="312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경계</w:t>
            </w:r>
          </w:p>
        </w:tc>
        <w:tc>
          <w:tcPr>
            <w:tcW w:type="dxa" w:w="758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표준</w:t>
            </w:r>
          </w:p>
        </w:tc>
      </w:tr>
      <w:tr>
        <w:trPr>
          <w:cantSplit/>
        </w:trPr>
        <w:tc>
          <w:tcPr>
            <w:tcW w:type="dxa" w:w="31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 DB Transaction</w:t>
            </w:r>
          </w:p>
        </w:tc>
        <w:tc>
          <w:tcPr>
            <w:tcW w:type="dxa" w:w="75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Service가 원자성 경계를 소유</w:t>
            </w:r>
          </w:p>
        </w:tc>
      </w:tr>
      <w:tr>
        <w:trPr>
          <w:cantSplit/>
        </w:trPr>
        <w:tc>
          <w:tcPr>
            <w:tcW w:type="dxa" w:w="31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Remote Domain/외부 호출</w:t>
            </w:r>
          </w:p>
        </w:tc>
        <w:tc>
          <w:tcPr>
            <w:tcW w:type="dxa" w:w="7583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 DB Tx와 동일 원자성으로 간주하지 않음</w:t>
            </w:r>
          </w:p>
        </w:tc>
      </w:tr>
      <w:tr>
        <w:trPr>
          <w:cantSplit/>
        </w:trPr>
        <w:tc>
          <w:tcPr>
            <w:tcW w:type="dxa" w:w="31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Timeout/UNKNOWN</w:t>
            </w:r>
          </w:p>
        </w:tc>
        <w:tc>
          <w:tcPr>
            <w:tcW w:type="dxa" w:w="75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상대 처리 여부가 불명하면 transactionId/대사 식별자를 유지</w:t>
            </w:r>
          </w:p>
        </w:tc>
      </w:tr>
      <w:tr>
        <w:trPr>
          <w:cantSplit/>
        </w:trPr>
        <w:tc>
          <w:tcPr>
            <w:tcW w:type="dxa" w:w="31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Retry</w:t>
            </w:r>
          </w:p>
        </w:tc>
        <w:tc>
          <w:tcPr>
            <w:tcW w:type="dxa" w:w="7583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Idempotency와 Side Effect 안전성이 확인된 경우에만</w:t>
            </w:r>
          </w:p>
        </w:tc>
      </w:tr>
      <w:tr>
        <w:trPr>
          <w:cantSplit/>
        </w:trPr>
        <w:tc>
          <w:tcPr>
            <w:tcW w:type="dxa" w:w="31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Outbox/Inbox</w:t>
            </w:r>
          </w:p>
        </w:tc>
        <w:tc>
          <w:tcPr>
            <w:tcW w:type="dxa" w:w="75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DB/메시징 경계에서 중복/전달상태를 명시적으로 관리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4. 분산 결과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5"/>
        <w:gridCol w:w="2635"/>
        <w:gridCol w:w="5570"/>
      </w:tblGrid>
      <w:tr>
        <w:trPr>
          <w:tblHeader w:val="true"/>
          <w:cantSplit/>
        </w:trPr>
        <w:tc>
          <w:tcPr>
            <w:tcW w:type="dxa" w:w="250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263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557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표준 처리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SUCCESS</w:t>
            </w:r>
          </w:p>
        </w:tc>
        <w:tc>
          <w:tcPr>
            <w:tcW w:type="dxa" w:w="26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성공 확정</w:t>
            </w:r>
          </w:p>
        </w:tc>
        <w:tc>
          <w:tcPr>
            <w:tcW w:type="dxa" w:w="55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정상 후속</w:t>
            </w:r>
          </w:p>
        </w:tc>
      </w:tr>
      <w:tr>
        <w:trPr>
          <w:cantSplit/>
        </w:trPr>
        <w:tc>
          <w:tcPr>
            <w:tcW w:type="dxa" w:w="2505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BUSINESS_FAILURE</w:t>
            </w:r>
          </w:p>
        </w:tc>
        <w:tc>
          <w:tcPr>
            <w:tcW w:type="dxa" w:w="2635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실패 확정</w:t>
            </w:r>
          </w:p>
        </w:tc>
        <w:tc>
          <w:tcPr>
            <w:tcW w:type="dxa" w:w="557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오류 분기</w:t>
            </w:r>
          </w:p>
        </w:tc>
      </w:tr>
      <w:tr>
        <w:trPr>
          <w:cantSplit/>
        </w:trPr>
        <w:tc>
          <w:tcPr>
            <w:tcW w:type="dxa" w:w="25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TECHNICAL_FAILURE</w:t>
            </w:r>
          </w:p>
        </w:tc>
        <w:tc>
          <w:tcPr>
            <w:tcW w:type="dxa" w:w="26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기술 실패 확정</w:t>
            </w:r>
          </w:p>
        </w:tc>
        <w:tc>
          <w:tcPr>
            <w:tcW w:type="dxa" w:w="55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정책 기반 실패/Retry</w:t>
            </w:r>
          </w:p>
        </w:tc>
      </w:tr>
      <w:tr>
        <w:trPr>
          <w:cantSplit/>
        </w:trPr>
        <w:tc>
          <w:tcPr>
            <w:tcW w:type="dxa" w:w="2505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UNKNOWN</w:t>
            </w:r>
          </w:p>
        </w:tc>
        <w:tc>
          <w:tcPr>
            <w:tcW w:type="dxa" w:w="2635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결과 확정 불가</w:t>
            </w:r>
          </w:p>
        </w:tc>
        <w:tc>
          <w:tcPr>
            <w:tcW w:type="dxa" w:w="557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Blind Retry 금지, 조회/대사 후 결정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5. Annotation/공개 계약</w:t>
      </w:r>
    </w:p>
    <w:p>
      <w:pPr>
        <w:spacing w:after="60" w:line="269" w:lineRule="auto"/>
      </w:pPr>
      <w:r>
        <w:t>상황에 맞게 `@CpfController`, `@CpfService`, `@CpfRepository`, `@CpfTx`, `@CpfIdempotent`, `@CpfLogging`, `@CpfPerformance`, `@CpfAudit`, `@CpfPermission` 등의 공개 계약을 사용합니다. Native Spring/Jakarta API 고유 기능 사용는 금지하지 않지만 CPF 표준 경계를 우회하는 기본 방식으로 사용하지 않습니다.</w:t>
      </w:r>
    </w:p>
    <w:p>
      <w:pPr>
        <w:pStyle w:val="Heading1"/>
      </w:pPr>
      <w:r>
        <w:t>6. 동시성·Cache·Idempotency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8"/>
        <w:gridCol w:w="7712"/>
      </w:tblGrid>
      <w:tr>
        <w:trPr>
          <w:tblHeader w:val="true"/>
          <w:cantSplit/>
        </w:trPr>
        <w:tc>
          <w:tcPr>
            <w:tcW w:type="dxa" w:w="29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기본 기준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동시 수정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Version/Optimistic Lock 우선, 실제 필요 시 Lock Provider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중복 요청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Idempotency Key와 결과 재사용 범위 명확화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Cache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TTL + Invalidation + 다중 Instance + Provider 장애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Paging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Page/Slice/Cursor를 UI/대량 요구에 맞춰 선택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7. 추적·오류·보안 표준</w:t>
      </w:r>
    </w:p>
    <w:p>
      <w:pPr>
        <w:pStyle w:val="ListBullet"/>
        <w:spacing w:after="20" w:line="250" w:lineRule="auto"/>
      </w:pPr>
      <w:r>
        <w:rPr>
          <w:sz w:val="18"/>
        </w:rPr>
        <w:t>거래/Domain Call/외부 연계/Batch가 공통 transactionId 또는 execution lineage로 추적 가능해야 합니다.</w:t>
      </w:r>
    </w:p>
    <w:p>
      <w:pPr>
        <w:pStyle w:val="ListBullet"/>
        <w:spacing w:after="20" w:line="250" w:lineRule="auto"/>
      </w:pPr>
      <w:r>
        <w:rPr>
          <w:sz w:val="18"/>
        </w:rPr>
        <w:t>표준 오류와 HTTP/Result 계약을 일관되게 유지하고 UNKNOWN을 일반 기술 오류에 합치지 않습니다.</w:t>
      </w:r>
    </w:p>
    <w:p>
      <w:pPr>
        <w:pStyle w:val="ListBullet"/>
        <w:spacing w:after="20" w:line="250" w:lineRule="auto"/>
      </w:pPr>
      <w:r>
        <w:rPr>
          <w:sz w:val="18"/>
        </w:rPr>
        <w:t>민감정보를 Log/화면/Evidence에 원문으로 남기지 않고 Secret은 외부 주입합니다.</w:t>
      </w:r>
    </w:p>
    <w:p>
      <w:pPr>
        <w:pStyle w:val="ListBullet"/>
        <w:spacing w:after="20" w:line="250" w:lineRule="auto"/>
      </w:pPr>
      <w:r>
        <w:rPr>
          <w:sz w:val="18"/>
        </w:rPr>
        <w:t>위험한 운영 조치는 권한·사유·승인·감사·결과 추적을 제공합니다.</w:t>
      </w:r>
    </w:p>
    <w:p>
      <w:pPr>
        <w:pStyle w:val="Heading1"/>
      </w:pPr>
      <w:r>
        <w:t>8. 테스트와 실제 예제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8"/>
        <w:gridCol w:w="7712"/>
      </w:tblGrid>
      <w:tr>
        <w:trPr>
          <w:tblHeader w:val="true"/>
          <w:cantSplit/>
        </w:trPr>
        <w:tc>
          <w:tcPr>
            <w:tcW w:type="dxa" w:w="29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77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위치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공개 계약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`cpf-core/src/main/java/com/cpf/core/api/**`, `cpf-starters/**`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Starter 공개 여부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`cpf-tools/generator/contracts/cpf-starter-catalog.json`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Education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`cpf-education/**`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Generated Consumer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`cpf-member/**`, `cpf-external/**`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개발 상세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`cpf-docs/guides/01_개발자_가이드`</w:t>
            </w:r>
          </w:p>
        </w:tc>
      </w:tr>
    </w:tbl>
    <w:p>
      <w:pPr>
        <w:spacing w:after="60" w:line="269" w:lineRule="auto"/>
      </w:pPr>
    </w:p>
    <w:sectPr w:rsidR="00FC693F" w:rsidRPr="0006063C" w:rsidSect="00034616">
      <w:footerReference w:type="default" r:id="rId10"/>
      <w:headerReference w:type="default" r:id="rId12"/>
      <w:pgSz w:w="12240" w:h="15840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5"/>
      </w:rPr>
      <w:t>기술표준서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1260000" cy="598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98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