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아키텍처설계서</w:t>
      </w:r>
    </w:p>
    <w:p>
      <w:pPr>
        <w:spacing w:after="60" w:line="269" w:lineRule="auto"/>
      </w:pPr>
      <w:r>
        <w:rPr>
          <w:color w:val="667085"/>
          <w:sz w:val="20"/>
        </w:rPr>
        <w:t>CPF의 구성요소, 의존성, 호출 경계, 외부 진입과 배포 구조를 설명하는 기술 설계서</w:t>
      </w:r>
    </w:p>
    <w:p>
      <w:pPr>
        <w:spacing w:after="60" w:line="269" w:lineRule="auto"/>
      </w:pPr>
      <w:r>
        <w:rPr>
          <w:b/>
          <w:color w:val="0C7780"/>
          <w:sz w:val="15"/>
        </w:rPr>
        <w:t>CPF  |  Core Platform Framework  |  사용자 산출물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28000" cy="3505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architecture-overview-20260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4748B"/>
          <w:sz w:val="14"/>
        </w:rPr>
        <w:t>그림 1. CPF 전체 아키텍처</w:t>
      </w:r>
    </w:p>
    <w:p>
      <w:pPr>
        <w:pStyle w:val="Heading1"/>
      </w:pPr>
      <w:r>
        <w:t>1. Architecture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설계 내용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배포형태 독립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계약을 동일 JVM/분리 WAS/MSA에 따라 바꾸지 않고 Binding/Runtime이 경로를 선택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선택형 조합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Domain은 필요한 Public Profile/Provider만 조합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명확한 Ownership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Core/Starter/Batch/Gateway/ADM/BZA/Tools의 역할을 분리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Public/Internal 경계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Consumer는 Public API/Profile/Provider만 직접 사용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가시성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거래/실행/Instance/Gateway/Batch를 식별자와 Trace/Audit로 연결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진입 독립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SLB/L4/Ingress와 CPF Gateway를 환경 요구에 따라 독립/조합 선택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Root 역할과 소유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Root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Architecture 역할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`cpf-core`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Context/Error/Result 등 배포형태에 독립적인 기술 핵심 계약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`cpf-starters`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Web/Data/Messaging/Integration/File/Security/Platform-Ops와 Public Profile/Provider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`cpf-&lt;domain&gt;`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Online/Batch Generated Root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`cpf-batch`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Job/Step/Scheduler/Worker/Center-Cut Runtime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`cpf-gateway`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선택형 외부 공통 진입과 정책 집행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`cpf-admin`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운영 제어 영역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`cpf-biz-admin`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선택형 업무 관리자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`cpf-education`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API/Starter 실행형 학습/검증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`cpf-tools`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Generator/DB/Build/Verification/Packaging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`deploy`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배포 구조/분산/Instance 도구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외부 진입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715"/>
        <w:gridCol w:w="4068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패턴</w:t>
            </w:r>
          </w:p>
        </w:tc>
        <w:tc>
          <w:tcPr>
            <w:tcW w:type="dxa" w:w="471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406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 기준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Direct</w:t>
            </w:r>
          </w:p>
        </w:tc>
        <w:tc>
          <w:tcPr>
            <w:tcW w:type="dxa" w:w="47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Client → Domain</w:t>
            </w:r>
          </w:p>
        </w:tc>
        <w:tc>
          <w:tcPr>
            <w:tcW w:type="dxa" w:w="40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내부/단일 서비스, 별도 진입 정책 불필요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LB/Ingress</w:t>
            </w:r>
          </w:p>
        </w:tc>
        <w:tc>
          <w:tcPr>
            <w:tcW w:type="dxa" w:w="471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Client → SLB/L4/Ingress → Domains</w:t>
            </w:r>
          </w:p>
        </w:tc>
        <w:tc>
          <w:tcPr>
            <w:tcW w:type="dxa" w:w="406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네트워크 분산/진입 제어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47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Client → Gateway → Domains</w:t>
            </w:r>
          </w:p>
        </w:tc>
        <w:tc>
          <w:tcPr>
            <w:tcW w:type="dxa" w:w="40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Routing·인증/접근·Traffic 정책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Combined</w:t>
            </w:r>
          </w:p>
        </w:tc>
        <w:tc>
          <w:tcPr>
            <w:tcW w:type="dxa" w:w="471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Client → SLB/L4/Ingress → Gateway → Domains</w:t>
            </w:r>
          </w:p>
        </w:tc>
        <w:tc>
          <w:tcPr>
            <w:tcW w:type="dxa" w:w="406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인프라 분산 + Gateway 정책</w:t>
            </w:r>
          </w:p>
        </w:tc>
      </w:tr>
    </w:tbl>
    <w:p>
      <w:pPr>
        <w:spacing w:after="60" w:line="269" w:lineRule="auto"/>
      </w:pPr>
    </w:p>
    <w:p>
      <w:pPr>
        <w:spacing w:after="60" w:line="269" w:lineRule="auto"/>
      </w:pPr>
      <w:r>
        <w:t>Gateway는 Domain 간 업무 호출의 필수 경로가 아닙니다. 외부 진입과 내부 Domain Call을 분리하여 불필요한 중앙 경유를 만들지 않습니다.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42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6"/>
        </w:rPr>
        <w:t>외부 공통 진입과 내부 Domain Call의 경계</w:t>
      </w:r>
    </w:p>
    <w:p>
      <w:pPr>
        <w:pStyle w:val="Heading1"/>
      </w:pPr>
      <w:r>
        <w:t>4. Domain Call과 외부 Service Call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506"/>
        <w:gridCol w:w="3277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경계</w:t>
            </w:r>
          </w:p>
        </w:tc>
        <w:tc>
          <w:tcPr>
            <w:tcW w:type="dxa" w:w="550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표준 흐름</w:t>
            </w:r>
          </w:p>
        </w:tc>
        <w:tc>
          <w:tcPr>
            <w:tcW w:type="dxa" w:w="327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핵심 상태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5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Typed Client → `CpfDomainClientRouter` → LOCAL/REMOTE</w:t>
            </w:r>
          </w:p>
        </w:tc>
        <w:tc>
          <w:tcPr>
            <w:tcW w:type="dxa" w:w="32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CpfResult: SUCCESS/BUSINESS_FAILURE/TECHNICAL_FAILURE/UNKNOWN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Service/External Call</w:t>
            </w:r>
          </w:p>
        </w:tc>
        <w:tc>
          <w:tcPr>
            <w:tcW w:type="dxa" w:w="550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ServiceCall → Registry/Health/Retry/Failover/Circuit → Transport</w:t>
            </w:r>
          </w:p>
        </w:tc>
        <w:tc>
          <w:tcPr>
            <w:tcW w:type="dxa" w:w="327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확정 실패와 UNKNOWN 분리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DB Transaction</w:t>
            </w:r>
          </w:p>
        </w:tc>
        <w:tc>
          <w:tcPr>
            <w:tcW w:type="dxa" w:w="5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→ Repository/Adapter → DB</w:t>
            </w:r>
          </w:p>
        </w:tc>
        <w:tc>
          <w:tcPr>
            <w:tcW w:type="dxa" w:w="32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같은 DB Resource 원자성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 Boundary</w:t>
            </w:r>
          </w:p>
        </w:tc>
        <w:tc>
          <w:tcPr>
            <w:tcW w:type="dxa" w:w="550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Tx와 원자성 분리</w:t>
            </w:r>
          </w:p>
        </w:tc>
        <w:tc>
          <w:tcPr>
            <w:tcW w:type="dxa" w:w="327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Idempotency/대사/후속 처리 필요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대표 실행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rPr>
          <w:cantSplit/>
          <w:cantSplit/>
          <w:tblHeader w:val="true"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keepLines/>
              <w:spacing w:after="0" w:line="245" w:lineRule="auto" w:before="0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[A] Minimal / Direct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Client ───────────────&gt; Generated Domain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                   └─ Starter / DB / Integration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[B] Multi-instance + LB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Client → SLB/L4/Ingress → Domain #1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               └→ Domain #2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[C] Gateway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Client → SLB/L4/Ingress → CPF Gateway → Domain A / Domain B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[D] Separated Runtime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External → [optional Gateway] → Domain A ↔ Domain B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                      ├→ External/Messaging/File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ADM ─────── Platform Operations / Trace / Batch / Gateway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BZA ─────── optional Business Admin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Batch ───── Scheduler / Worker / Center-Cut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통합 배포와 분리 배포의 동일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016"/>
        <w:gridCol w:w="4767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01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통합 JVM</w:t>
            </w:r>
          </w:p>
        </w:tc>
        <w:tc>
          <w:tcPr>
            <w:tcW w:type="dxa" w:w="476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분리 WAS/MSA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40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Binding</w:t>
            </w:r>
          </w:p>
        </w:tc>
        <w:tc>
          <w:tcPr>
            <w:tcW w:type="dxa" w:w="47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 Binding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Client 계약</w:t>
            </w:r>
          </w:p>
        </w:tc>
        <w:tc>
          <w:tcPr>
            <w:tcW w:type="dxa" w:w="401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</w:t>
            </w:r>
          </w:p>
        </w:tc>
        <w:tc>
          <w:tcPr>
            <w:tcW w:type="dxa" w:w="476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Result 계약</w:t>
            </w:r>
          </w:p>
        </w:tc>
        <w:tc>
          <w:tcPr>
            <w:tcW w:type="dxa" w:w="40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CpfResult 4상태</w:t>
            </w:r>
          </w:p>
        </w:tc>
        <w:tc>
          <w:tcPr>
            <w:tcW w:type="dxa" w:w="47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CpfResult 4상태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401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불필요하면 미사용</w:t>
            </w:r>
          </w:p>
        </w:tc>
        <w:tc>
          <w:tcPr>
            <w:tcW w:type="dxa" w:w="476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진입 요구에 따라 선택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</w:t>
            </w:r>
          </w:p>
        </w:tc>
        <w:tc>
          <w:tcPr>
            <w:tcW w:type="dxa" w:w="40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공유/분리 정책에 따라</w:t>
            </w:r>
          </w:p>
        </w:tc>
        <w:tc>
          <w:tcPr>
            <w:tcW w:type="dxa" w:w="47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Domain별/Role별 연결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</w:t>
            </w:r>
          </w:p>
        </w:tc>
        <w:tc>
          <w:tcPr>
            <w:tcW w:type="dxa" w:w="401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 Trace/Health/Audit 계약</w:t>
            </w:r>
          </w:p>
        </w:tc>
        <w:tc>
          <w:tcPr>
            <w:tcW w:type="dxa" w:w="476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Instance/Remote 상태 추가 확인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운영·관리 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416"/>
        <w:gridCol w:w="3367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541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36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업무 Domain과의 관계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</w:t>
            </w:r>
          </w:p>
        </w:tc>
        <w:tc>
          <w:tcPr>
            <w:tcW w:type="dxa" w:w="54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Runtime/거래/Gateway/Batch/Config/Cache/Audit 운영</w:t>
            </w:r>
          </w:p>
        </w:tc>
        <w:tc>
          <w:tcPr>
            <w:tcW w:type="dxa" w:w="33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개발 위치가 아니라 플랫폼 운영 제어 영역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BZA</w:t>
            </w:r>
          </w:p>
        </w:tc>
        <w:tc>
          <w:tcPr>
            <w:tcW w:type="dxa" w:w="541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메뉴·Role·Permission부터 조직/결재 등 업무 관리자 기능</w:t>
            </w:r>
          </w:p>
        </w:tc>
        <w:tc>
          <w:tcPr>
            <w:tcW w:type="dxa" w:w="336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필요한 프로젝트에서 선택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Control</w:t>
            </w:r>
          </w:p>
        </w:tc>
        <w:tc>
          <w:tcPr>
            <w:tcW w:type="dxa" w:w="54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Execution/Worker/Center-Cut 운영</w:t>
            </w:r>
          </w:p>
        </w:tc>
        <w:tc>
          <w:tcPr>
            <w:tcW w:type="dxa" w:w="33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Batch Consumer와 Runtime 책임 분리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8. 데이터와 DB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소유/용도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CPF_PLATFORM_DB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공통/ADM/Batch/Gateway/Security/Operations 데이터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BZA_DB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선택형 BZA 관리 데이터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CUSTOMER_BUSINESS_DB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Domain 업무 데이터</w:t>
            </w:r>
          </w:p>
        </w:tc>
      </w:tr>
    </w:tbl>
    <w:p>
      <w:pPr>
        <w:spacing w:after="60" w:line="269" w:lineRule="auto"/>
      </w:pPr>
    </w:p>
    <w:p>
      <w:pPr>
        <w:spacing w:after="60" w:line="269" w:lineRule="auto"/>
      </w:pPr>
      <w:r>
        <w:t>공식 Vendor는 Oracle/PostgreSQL/MariaDB이며, Domain 정의는 Vendor-neutral로 유지하고 Vendor별 실행 SQL은 중앙 DB Pack에서 관리합니다.</w:t>
      </w:r>
    </w:p>
    <w:p>
      <w:pPr>
        <w:pStyle w:val="Heading1"/>
      </w:pPr>
      <w:r>
        <w:t>9. 의존성 방향과 공개 경계</w:t>
      </w:r>
    </w:p>
    <w:p>
      <w:pPr>
        <w:pStyle w:val="ListBullet"/>
        <w:spacing w:after="20" w:line="250" w:lineRule="auto"/>
      </w:pPr>
      <w:r>
        <w:rPr>
          <w:sz w:val="18"/>
        </w:rPr>
        <w:t>`cpf-core`는 배포형태에 독립적인 계약을 소유하고 특정 Admin/Batch Runtime/Provider 구현을 소유하지 않습니다.</w:t>
      </w:r>
    </w:p>
    <w:p>
      <w:pPr>
        <w:pStyle w:val="ListBullet"/>
        <w:spacing w:after="20" w:line="250" w:lineRule="auto"/>
      </w:pPr>
      <w:r>
        <w:rPr>
          <w:sz w:val="18"/>
        </w:rPr>
        <w:t>Generated Domain은 `cpf-tools/generator/contracts/cpf-starter-catalog.json`의 `visibility=public` 기능 범위만 직접 사용합니다.</w:t>
      </w:r>
    </w:p>
    <w:p>
      <w:pPr>
        <w:pStyle w:val="ListBullet"/>
        <w:spacing w:after="20" w:line="250" w:lineRule="auto"/>
      </w:pPr>
      <w:r>
        <w:rPr>
          <w:sz w:val="18"/>
        </w:rPr>
        <w:t>Internal HTTP/Resilience leaf는 Public Profile/Composition 내부에서 소비하며 고객 Domain이 직접 우회 참조하지 않습니다.</w:t>
      </w:r>
    </w:p>
    <w:p>
      <w:pPr>
        <w:pStyle w:val="ListBullet"/>
        <w:spacing w:after="20" w:line="250" w:lineRule="auto"/>
      </w:pPr>
      <w:r>
        <w:rPr>
          <w:sz w:val="18"/>
        </w:rPr>
        <w:t>Framework 계약 변경 시 Generator/Template/Sample/Education/OpenAPI/Test를 함께 확인합니다.</w:t>
      </w:r>
    </w:p>
    <w:p>
      <w:pPr>
        <w:spacing w:after="60" w:line="269" w:lineRule="auto"/>
      </w:pPr>
    </w:p>
    <w:p>
      <w:pPr>
        <w:pStyle w:val="Heading1"/>
      </w:pPr>
      <w:r>
        <w:t>10. 구성 선택 및 적용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31"/>
        <w:gridCol w:w="2061"/>
        <w:gridCol w:w="4318"/>
      </w:tblGrid>
      <w:tr>
        <w:trPr>
          <w:tblHeader w:val="true"/>
          <w:cantSplit/>
        </w:trPr>
        <w:tc>
          <w:tcPr>
            <w:tcW w:type="dxa" w:w="433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요구</w:t>
            </w:r>
          </w:p>
        </w:tc>
        <w:tc>
          <w:tcPr>
            <w:tcW w:type="dxa" w:w="206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</w:t>
            </w:r>
          </w:p>
        </w:tc>
        <w:tc>
          <w:tcPr>
            <w:tcW w:type="dxa" w:w="431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선택하지 않아도 되는 경우</w:t>
            </w:r>
          </w:p>
        </w:tc>
      </w:tr>
      <w:tr>
        <w:trPr>
          <w:cantSplit/>
        </w:trPr>
        <w:tc>
          <w:tcPr>
            <w:tcW w:type="dxa" w:w="43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공통 Routing·인증·Traffic 정책</w:t>
            </w:r>
          </w:p>
        </w:tc>
        <w:tc>
          <w:tcPr>
            <w:tcW w:type="dxa" w:w="20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Gateway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직접 진입 또는 LB/Ingress만으로 충분</w:t>
            </w:r>
          </w:p>
        </w:tc>
      </w:tr>
      <w:tr>
        <w:trPr>
          <w:cantSplit/>
        </w:trPr>
        <w:tc>
          <w:tcPr>
            <w:tcW w:type="dxa" w:w="433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네트워크 분산/Ingress</w:t>
            </w:r>
          </w:p>
        </w:tc>
        <w:tc>
          <w:tcPr>
            <w:tcW w:type="dxa" w:w="206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SLB/L4/Ingress</w:t>
            </w:r>
          </w:p>
        </w:tc>
        <w:tc>
          <w:tcPr>
            <w:tcW w:type="dxa" w:w="431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단일 Instance/내부 테스트</w:t>
            </w:r>
          </w:p>
        </w:tc>
      </w:tr>
      <w:tr>
        <w:trPr>
          <w:cantSplit/>
        </w:trPr>
        <w:tc>
          <w:tcPr>
            <w:tcW w:type="dxa" w:w="43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관리자 메뉴·Role·Permission</w:t>
            </w:r>
          </w:p>
        </w:tc>
        <w:tc>
          <w:tcPr>
            <w:tcW w:type="dxa" w:w="20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BZA 최소 기능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관리자 기능이 없음</w:t>
            </w:r>
          </w:p>
        </w:tc>
      </w:tr>
      <w:tr>
        <w:trPr>
          <w:cantSplit/>
        </w:trPr>
        <w:tc>
          <w:tcPr>
            <w:tcW w:type="dxa" w:w="433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조직·직원·결재</w:t>
            </w:r>
          </w:p>
        </w:tc>
        <w:tc>
          <w:tcPr>
            <w:tcW w:type="dxa" w:w="206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BZA 확장 기능</w:t>
            </w:r>
          </w:p>
        </w:tc>
        <w:tc>
          <w:tcPr>
            <w:tcW w:type="dxa" w:w="431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해당 업무 요구가 없음</w:t>
            </w:r>
          </w:p>
        </w:tc>
      </w:tr>
      <w:tr>
        <w:trPr>
          <w:cantSplit/>
        </w:trPr>
        <w:tc>
          <w:tcPr>
            <w:tcW w:type="dxa" w:w="43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정기·대량·분산 실행</w:t>
            </w:r>
          </w:p>
        </w:tc>
        <w:tc>
          <w:tcPr>
            <w:tcW w:type="dxa" w:w="20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Batch/Worker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 거래만 사용</w:t>
            </w:r>
          </w:p>
        </w:tc>
      </w:tr>
      <w:tr>
        <w:trPr>
          <w:cantSplit/>
        </w:trPr>
        <w:tc>
          <w:tcPr>
            <w:tcW w:type="dxa" w:w="433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대규모 대상 Preview/실행 제어</w:t>
            </w:r>
          </w:p>
        </w:tc>
        <w:tc>
          <w:tcPr>
            <w:tcW w:type="dxa" w:w="206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Center-Cut</w:t>
            </w:r>
          </w:p>
        </w:tc>
        <w:tc>
          <w:tcPr>
            <w:tcW w:type="dxa" w:w="431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Job/Step만으로 충분</w:t>
            </w:r>
          </w:p>
        </w:tc>
      </w:tr>
    </w:tbl>
    <w:p>
      <w:pPr>
        <w:pStyle w:val="Heading1"/>
      </w:pPr>
      <w:r>
        <w:t>11. 운영·실패 경계의 필수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경계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반드시 유지할 정보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Online/Domain Call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transactionId, systemCode, operationId, CpfResult 상태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External Call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대상, Timeout, Retry 횟수, 상대 결과/UNKNOWN 식별자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Execution/Step/Worker/Checkpoint, 대상 수와 실패 집합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Route/Target/Instance/Traffic 정책과 Downstream 상태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조치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수행자·대상·사유·승인·결과·Audit</w:t>
            </w:r>
          </w:p>
        </w:tc>
      </w:tr>
    </w:tbl>
    <w:sectPr w:rsidR="00FC693F" w:rsidRPr="0006063C" w:rsidSect="00034616">
      <w:footerReference w:type="default" r:id="rId10"/>
      <w:headerReference w:type="default" r:id="rId13"/>
      <w:pgSz w:w="12240" w:h="15840"/>
      <w:pgMar w:top="619" w:right="879" w:bottom="61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아키텍처설계서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69" w:lineRule="auto"/>
    </w:pPr>
    <w:rPr>
      <w:rFonts w:ascii="Noto Sans CJK KR" w:hAnsi="Noto Sans CJK KR" w:eastAsia="Noto Sans CJK KR"/>
      <w:color w:val="172B4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