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</w:pPr>
      <w:r>
        <w:t>데이터베이스표준서</w:t>
      </w:r>
    </w:p>
    <w:p>
      <w:pPr>
        <w:spacing w:after="60" w:line="269" w:lineRule="auto"/>
      </w:pPr>
      <w:r>
        <w:rPr>
          <w:color w:val="667085"/>
          <w:sz w:val="20"/>
        </w:rPr>
        <w:t>DB Role, Schema 정본, Oracle/PostgreSQL/MariaDB Vendor Pack과 Install·Migration·Verify 기준을 정리한 표준서</w:t>
      </w:r>
    </w:p>
    <w:p>
      <w:pPr>
        <w:spacing w:after="60" w:line="269" w:lineRule="auto"/>
      </w:pPr>
      <w:r>
        <w:rPr>
          <w:b/>
          <w:color w:val="0C7780"/>
          <w:sz w:val="15"/>
        </w:rPr>
        <w:t>CPF  |  Core Platform Framework  |  사용자 산출물</w:t>
      </w:r>
    </w:p>
    <w:p>
      <w:pPr>
        <w:spacing w:after="60" w:line="269" w:lineRule="auto"/>
      </w:pPr>
      <w:r>
        <w:rPr>
          <w:color w:val="667085"/>
          <w:sz w:val="14"/>
        </w:rPr>
        <w:t>기준 Source: master bd5fcd7707cfbba366071e7e4556c5cbb9b974bc  ·  2026-08-15</w:t>
      </w:r>
    </w:p>
    <w:p>
      <w:pPr>
        <w:pStyle w:val="Heading1"/>
      </w:pPr>
      <w:r>
        <w:t>1. 공식 Vendor와 기본 원칙</w:t>
      </w:r>
    </w:p>
    <w:p>
      <w:pPr>
        <w:spacing w:after="60" w:line="269" w:lineRule="auto"/>
      </w:pPr>
      <w:r>
        <w:t>CPF 공식 DB Vendor는 Oracle, PostgreSQL, MariaDB입니다. `cpf-domain.yaml`은 Vendor-neutral로 유지하고 실제 Vendor 선택과 실행 SQL은 중앙 DB Lifecycle에서 관리합니다.</w:t>
      </w:r>
    </w:p>
    <w:p>
      <w:pPr>
        <w:pStyle w:val="Heading1"/>
      </w:pPr>
      <w:r>
        <w:t>2. DB Role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19"/>
        <w:gridCol w:w="2920"/>
        <w:gridCol w:w="5571"/>
      </w:tblGrid>
      <w:tr>
        <w:trPr>
          <w:tblHeader w:val="true"/>
          <w:cantSplit/>
        </w:trPr>
        <w:tc>
          <w:tcPr>
            <w:tcW w:type="dxa" w:w="2219"/>
            <w:shd w:fill="123B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2920"/>
            <w:shd w:fill="123B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b/>
                <w:color w:val="FFFFFF"/>
                <w:sz w:val="16"/>
              </w:rPr>
              <w:t>기본 Physical Target</w:t>
            </w:r>
          </w:p>
        </w:tc>
        <w:tc>
          <w:tcPr>
            <w:tcW w:type="dxa" w:w="5571"/>
            <w:shd w:fill="123B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b/>
                <w:color w:val="FFFFFF"/>
                <w:sz w:val="16"/>
              </w:rPr>
              <w:t>Owner/용도</w:t>
            </w:r>
          </w:p>
        </w:tc>
      </w:tr>
      <w:tr>
        <w:trPr>
          <w:cantSplit/>
        </w:trPr>
        <w:tc>
          <w:tcPr>
            <w:tcW w:type="dxa" w:w="221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center"/>
            </w:pPr>
            <w:r>
              <w:rPr>
                <w:color w:val="172B4D"/>
                <w:sz w:val="16"/>
              </w:rPr>
              <w:t>CPF_PLATFORM_DB</w:t>
            </w:r>
          </w:p>
        </w:tc>
        <w:tc>
          <w:tcPr>
            <w:tcW w:type="dxa" w:w="29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cpfDB</w:t>
            </w:r>
          </w:p>
        </w:tc>
        <w:tc>
          <w:tcPr>
            <w:tcW w:type="dxa" w:w="557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CPF_/CMN_/ADM_/BAT_/GW_/SEC_/OPS_ 등 Framework 공통·운영</w:t>
            </w:r>
          </w:p>
        </w:tc>
      </w:tr>
      <w:tr>
        <w:trPr>
          <w:cantSplit/>
        </w:trPr>
        <w:tc>
          <w:tcPr>
            <w:tcW w:type="dxa" w:w="2219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color w:val="172B4D"/>
                <w:sz w:val="16"/>
              </w:rPr>
              <w:t>BZA_DB</w:t>
            </w:r>
          </w:p>
        </w:tc>
        <w:tc>
          <w:tcPr>
            <w:tcW w:type="dxa" w:w="2920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bzaDB</w:t>
            </w:r>
          </w:p>
        </w:tc>
        <w:tc>
          <w:tcPr>
            <w:tcW w:type="dxa" w:w="5571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BZA_ 선택형 업무 관리자</w:t>
            </w:r>
          </w:p>
        </w:tc>
      </w:tr>
      <w:tr>
        <w:trPr>
          <w:cantSplit/>
        </w:trPr>
        <w:tc>
          <w:tcPr>
            <w:tcW w:type="dxa" w:w="221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center"/>
            </w:pPr>
            <w:r>
              <w:rPr>
                <w:color w:val="172B4D"/>
                <w:sz w:val="16"/>
              </w:rPr>
              <w:t>CUSTOMER_BUSINESS_DB</w:t>
            </w:r>
          </w:p>
        </w:tc>
        <w:tc>
          <w:tcPr>
            <w:tcW w:type="dxa" w:w="29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고객 업무 DB</w:t>
            </w:r>
          </w:p>
        </w:tc>
        <w:tc>
          <w:tcPr>
            <w:tcW w:type="dxa" w:w="557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Domain Prefix 예: MBR_/EXS_</w:t>
            </w:r>
          </w:p>
        </w:tc>
      </w:tr>
    </w:tbl>
    <w:p>
      <w:pPr>
        <w:spacing w:after="60" w:line="269" w:lineRule="auto"/>
      </w:pPr>
    </w:p>
    <w:p>
      <w:pPr>
        <w:pStyle w:val="Heading1"/>
      </w:pPr>
      <w:r>
        <w:t>3. Schema 정본과 Vendor Pack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98"/>
        <w:gridCol w:w="7712"/>
      </w:tblGrid>
      <w:tr>
        <w:trPr>
          <w:tblHeader w:val="true"/>
          <w:cantSplit/>
        </w:trPr>
        <w:tc>
          <w:tcPr>
            <w:tcW w:type="dxa" w:w="2998"/>
            <w:shd w:fill="123B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7712"/>
            <w:shd w:fill="123B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b/>
                <w:color w:val="FFFFFF"/>
                <w:sz w:val="16"/>
              </w:rPr>
              <w:t>정본/위치</w:t>
            </w:r>
          </w:p>
        </w:tc>
      </w:tr>
      <w:tr>
        <w:trPr>
          <w:cantSplit/>
        </w:trPr>
        <w:tc>
          <w:tcPr>
            <w:tcW w:type="dxa" w:w="2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center"/>
            </w:pPr>
            <w:r>
              <w:rPr>
                <w:color w:val="172B4D"/>
                <w:sz w:val="16"/>
              </w:rPr>
              <w:t>Canonical Model</w:t>
            </w:r>
          </w:p>
        </w:tc>
        <w:tc>
          <w:tcPr>
            <w:tcW w:type="dxa" w:w="771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`cpf-tools/db/canonical/**`</w:t>
            </w:r>
          </w:p>
        </w:tc>
      </w:tr>
      <w:tr>
        <w:trPr>
          <w:cantSplit/>
        </w:trPr>
        <w:tc>
          <w:tcPr>
            <w:tcW w:type="dxa" w:w="2998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color w:val="172B4D"/>
                <w:sz w:val="16"/>
              </w:rPr>
              <w:t>Contract/Manifest</w:t>
            </w:r>
          </w:p>
        </w:tc>
        <w:tc>
          <w:tcPr>
            <w:tcW w:type="dxa" w:w="7712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`cpf-tools/db/contracts/**`, `cpf-tools/db/generated/database-schema-manifest.json`</w:t>
            </w:r>
          </w:p>
        </w:tc>
      </w:tr>
      <w:tr>
        <w:trPr>
          <w:cantSplit/>
        </w:trPr>
        <w:tc>
          <w:tcPr>
            <w:tcW w:type="dxa" w:w="2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center"/>
            </w:pPr>
            <w:r>
              <w:rPr>
                <w:color w:val="172B4D"/>
                <w:sz w:val="16"/>
              </w:rPr>
              <w:t>Vendor Source</w:t>
            </w:r>
          </w:p>
        </w:tc>
        <w:tc>
          <w:tcPr>
            <w:tcW w:type="dxa" w:w="771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`cpf-tools/db/vendor/&lt;vendor&gt;/source/**`</w:t>
            </w:r>
          </w:p>
        </w:tc>
      </w:tr>
      <w:tr>
        <w:trPr>
          <w:cantSplit/>
        </w:trPr>
        <w:tc>
          <w:tcPr>
            <w:tcW w:type="dxa" w:w="2998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color w:val="172B4D"/>
                <w:sz w:val="16"/>
              </w:rPr>
              <w:t>Install</w:t>
            </w:r>
          </w:p>
        </w:tc>
        <w:tc>
          <w:tcPr>
            <w:tcW w:type="dxa" w:w="7712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`cpf-tools/db/vendor/&lt;vendor&gt;/install/**`</w:t>
            </w:r>
          </w:p>
        </w:tc>
      </w:tr>
      <w:tr>
        <w:trPr>
          <w:cantSplit/>
        </w:trPr>
        <w:tc>
          <w:tcPr>
            <w:tcW w:type="dxa" w:w="2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center"/>
            </w:pPr>
            <w:r>
              <w:rPr>
                <w:color w:val="172B4D"/>
                <w:sz w:val="16"/>
              </w:rPr>
              <w:t>Migration</w:t>
            </w:r>
          </w:p>
        </w:tc>
        <w:tc>
          <w:tcPr>
            <w:tcW w:type="dxa" w:w="771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`cpf-tools/db/vendor/&lt;vendor&gt;/migration/**`</w:t>
            </w:r>
          </w:p>
        </w:tc>
      </w:tr>
      <w:tr>
        <w:trPr>
          <w:cantSplit/>
        </w:trPr>
        <w:tc>
          <w:tcPr>
            <w:tcW w:type="dxa" w:w="2998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color w:val="172B4D"/>
                <w:sz w:val="16"/>
              </w:rPr>
              <w:t>Seed</w:t>
            </w:r>
          </w:p>
        </w:tc>
        <w:tc>
          <w:tcPr>
            <w:tcW w:type="dxa" w:w="7712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`cpf-tools/db/vendor/&lt;vendor&gt;/seed/**`</w:t>
            </w:r>
          </w:p>
        </w:tc>
      </w:tr>
      <w:tr>
        <w:trPr>
          <w:cantSplit/>
        </w:trPr>
        <w:tc>
          <w:tcPr>
            <w:tcW w:type="dxa" w:w="2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center"/>
            </w:pPr>
            <w:r>
              <w:rPr>
                <w:color w:val="172B4D"/>
                <w:sz w:val="16"/>
              </w:rPr>
              <w:t>Rollback</w:t>
            </w:r>
          </w:p>
        </w:tc>
        <w:tc>
          <w:tcPr>
            <w:tcW w:type="dxa" w:w="771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`cpf-tools/db/vendor/&lt;vendor&gt;/rollback/**`</w:t>
            </w:r>
          </w:p>
        </w:tc>
      </w:tr>
      <w:tr>
        <w:trPr>
          <w:cantSplit/>
        </w:trPr>
        <w:tc>
          <w:tcPr>
            <w:tcW w:type="dxa" w:w="2998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color w:val="172B4D"/>
                <w:sz w:val="16"/>
              </w:rPr>
              <w:t>Verify</w:t>
            </w:r>
          </w:p>
        </w:tc>
        <w:tc>
          <w:tcPr>
            <w:tcW w:type="dxa" w:w="7712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`cpf-tools/db/vendor/&lt;vendor&gt;/verify/**`</w:t>
            </w:r>
          </w:p>
        </w:tc>
      </w:tr>
      <w:tr>
        <w:trPr>
          <w:cantSplit/>
        </w:trPr>
        <w:tc>
          <w:tcPr>
            <w:tcW w:type="dxa" w:w="2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center"/>
            </w:pPr>
            <w:r>
              <w:rPr>
                <w:color w:val="172B4D"/>
                <w:sz w:val="16"/>
              </w:rPr>
              <w:t>Generated Domain Template</w:t>
            </w:r>
          </w:p>
        </w:tc>
        <w:tc>
          <w:tcPr>
            <w:tcW w:type="dxa" w:w="771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`cpf-tools/db/generated/domain-template/&lt;vendor&gt;/**`</w:t>
            </w:r>
          </w:p>
        </w:tc>
      </w:tr>
    </w:tbl>
    <w:p>
      <w:pPr>
        <w:spacing w:after="60" w:line="269" w:lineRule="auto"/>
      </w:pPr>
    </w:p>
    <w:p>
      <w:pPr>
        <w:pStyle w:val="Heading1"/>
      </w:pPr>
      <w:r>
        <w:t>4. 현재 Schema Manifest 요약</w:t>
      </w:r>
    </w:p>
    <w:p>
      <w:pPr>
        <w:spacing w:after="60" w:line="269" w:lineRule="auto"/>
      </w:pPr>
      <w:r>
        <w:t>현재 `database-schema-manifest.json`의 논리 Table 수는 192개입니다. 문서에 192개 테이블과 컬럼을 복제하지 않고 Manifest를 정본으로 사용합니다.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40"/>
        <w:gridCol w:w="5569"/>
        <w:gridCol w:w="3001"/>
      </w:tblGrid>
      <w:tr>
        <w:trPr>
          <w:tblHeader w:val="true"/>
          <w:cantSplit/>
        </w:trPr>
        <w:tc>
          <w:tcPr>
            <w:tcW w:type="dxa" w:w="2140"/>
            <w:shd w:fill="123B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5569"/>
            <w:shd w:fill="123B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b/>
                <w:color w:val="FFFFFF"/>
                <w:sz w:val="16"/>
              </w:rPr>
              <w:t>대표 Prefix/Table</w:t>
            </w:r>
          </w:p>
        </w:tc>
        <w:tc>
          <w:tcPr>
            <w:tcW w:type="dxa" w:w="3001"/>
            <w:shd w:fill="123B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b/>
                <w:color w:val="FFFFFF"/>
                <w:sz w:val="16"/>
              </w:rPr>
              <w:t>주요 용도</w:t>
            </w:r>
          </w:p>
        </w:tc>
      </w:tr>
      <w:tr>
        <w:trPr>
          <w:cantSplit/>
        </w:trPr>
        <w:tc>
          <w:tcPr>
            <w:tcW w:type="dxa" w:w="214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CPF Platform</w:t>
            </w:r>
          </w:p>
        </w:tc>
        <w:tc>
          <w:tcPr>
            <w:tcW w:type="dxa" w:w="55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`cpf_config`, `cpf_code`, `cpf_message`, inbox/outbox</w:t>
            </w:r>
          </w:p>
        </w:tc>
        <w:tc>
          <w:tcPr>
            <w:tcW w:type="dxa" w:w="300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설정·공통·메시징 신뢰성</w:t>
            </w:r>
          </w:p>
        </w:tc>
      </w:tr>
      <w:tr>
        <w:trPr>
          <w:cantSplit/>
        </w:trPr>
        <w:tc>
          <w:tcPr>
            <w:tcW w:type="dxa" w:w="2140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ADM</w:t>
            </w:r>
          </w:p>
        </w:tc>
        <w:tc>
          <w:tcPr>
            <w:tcW w:type="dxa" w:w="5569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`adm_menu`, `adm_role*`, `adm_operator*`, `adm_audit*`</w:t>
            </w:r>
          </w:p>
        </w:tc>
        <w:tc>
          <w:tcPr>
            <w:tcW w:type="dxa" w:w="3001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플랫폼 운영 권한·감사</w:t>
            </w:r>
          </w:p>
        </w:tc>
      </w:tr>
      <w:tr>
        <w:trPr>
          <w:cantSplit/>
        </w:trPr>
        <w:tc>
          <w:tcPr>
            <w:tcW w:type="dxa" w:w="214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Batch</w:t>
            </w:r>
          </w:p>
        </w:tc>
        <w:tc>
          <w:tcPr>
            <w:tcW w:type="dxa" w:w="55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`BATCH_*`, `bat_job*`, `bat_worker`, `bat_center_cut_*`</w:t>
            </w:r>
          </w:p>
        </w:tc>
        <w:tc>
          <w:tcPr>
            <w:tcW w:type="dxa" w:w="300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Job/Step/Worker/Center-Cut</w:t>
            </w:r>
          </w:p>
        </w:tc>
      </w:tr>
      <w:tr>
        <w:trPr>
          <w:cantSplit/>
        </w:trPr>
        <w:tc>
          <w:tcPr>
            <w:tcW w:type="dxa" w:w="2140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BZA</w:t>
            </w:r>
          </w:p>
        </w:tc>
        <w:tc>
          <w:tcPr>
            <w:tcW w:type="dxa" w:w="5569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`bza_admin_user`, `bza_menu`, `bza_role`, `bza_permission` 등</w:t>
            </w:r>
          </w:p>
        </w:tc>
        <w:tc>
          <w:tcPr>
            <w:tcW w:type="dxa" w:w="3001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선택형 업무 관리자</w:t>
            </w:r>
          </w:p>
        </w:tc>
      </w:tr>
      <w:tr>
        <w:trPr>
          <w:cantSplit/>
        </w:trPr>
        <w:tc>
          <w:tcPr>
            <w:tcW w:type="dxa" w:w="214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업무 Domain</w:t>
            </w:r>
          </w:p>
        </w:tc>
        <w:tc>
          <w:tcPr>
            <w:tcW w:type="dxa" w:w="55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`MBR_`, `EXS_` 등 Generator Prefix</w:t>
            </w:r>
          </w:p>
        </w:tc>
        <w:tc>
          <w:tcPr>
            <w:tcW w:type="dxa" w:w="300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고객 업무 Schema</w:t>
            </w:r>
          </w:p>
        </w:tc>
      </w:tr>
    </w:tbl>
    <w:p>
      <w:pPr>
        <w:spacing w:after="60" w:line="269" w:lineRule="auto"/>
      </w:pPr>
    </w:p>
    <w:p>
      <w:pPr>
        <w:pStyle w:val="Heading1"/>
      </w:pPr>
      <w:r>
        <w:t>5. Vendor 선택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10"/>
      </w:tblGrid>
      <w:tr>
        <w:trPr>
          <w:cantSplit/>
          <w:cantSplit/>
          <w:tblHeader w:val="true"/>
        </w:trPr>
        <w:tc>
          <w:tcPr>
            <w:tcW w:type="dxa" w:w="10092"/>
            <w:shd w:fill="F3F6F9"/>
            <w:tcMar>
              <w:top w:w="80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keepLines/>
              <w:spacing w:after="0" w:line="245" w:lineRule="auto"/>
              <w:jc w:val="left"/>
            </w:pPr>
            <w:r>
              <w:rPr>
                <w:b/>
                <w:color w:val="172B4D"/>
                <w:sz w:val="16"/>
              </w:rPr>
            </w:r>
            <w:r>
              <w:rPr>
                <w:rFonts w:ascii="Consolas" w:hAnsi="Consolas" w:eastAsia="D2Coding"/>
                <w:b/>
                <w:color w:val="172B4D"/>
                <w:sz w:val="16"/>
              </w:rPr>
              <w:t>cpf db render --file cpf-domain.yaml --vendor oracle</w:t>
              <w:br/>
            </w:r>
            <w:r>
              <w:rPr>
                <w:rFonts w:ascii="Consolas" w:hAnsi="Consolas" w:eastAsia="D2Coding"/>
                <w:b/>
                <w:color w:val="172B4D"/>
                <w:sz w:val="16"/>
              </w:rPr>
              <w:t>cpf db render --file cpf-domain.yaml --vendor postgresql</w:t>
              <w:br/>
            </w:r>
            <w:r>
              <w:rPr>
                <w:rFonts w:ascii="Consolas" w:hAnsi="Consolas" w:eastAsia="D2Coding"/>
                <w:b/>
                <w:color w:val="172B4D"/>
                <w:sz w:val="16"/>
              </w:rPr>
              <w:t>cpf db render --file cpf-domain.yaml --vendor mariadb</w:t>
            </w:r>
          </w:p>
        </w:tc>
      </w:tr>
    </w:tbl>
    <w:p>
      <w:pPr>
        <w:spacing w:after="60" w:line="269" w:lineRule="auto"/>
      </w:pPr>
    </w:p>
    <w:p>
      <w:pPr>
        <w:pStyle w:val="Heading1"/>
      </w:pPr>
      <w:r>
        <w:t>6. 신규 설치 순서</w:t>
      </w:r>
    </w:p>
    <w:p>
      <w:pPr>
        <w:pStyle w:val="ListNumber"/>
        <w:spacing w:after="20" w:line="250" w:lineRule="auto"/>
      </w:pPr>
      <w:r>
        <w:rPr>
          <w:sz w:val="18"/>
        </w:rPr>
        <w:t>배포 대상 DB Role과 Vendor를 확정합니다.</w:t>
      </w:r>
    </w:p>
    <w:p>
      <w:pPr>
        <w:pStyle w:val="ListNumber"/>
        <w:spacing w:after="20" w:line="250" w:lineRule="auto"/>
      </w:pPr>
      <w:r>
        <w:rPr>
          <w:sz w:val="18"/>
        </w:rPr>
        <w:t>Provision/Migration/Application 계정 책임과 Secret 주입 방식을 정합니다.</w:t>
      </w:r>
    </w:p>
    <w:p>
      <w:pPr>
        <w:pStyle w:val="ListNumber"/>
        <w:spacing w:after="20" w:line="250" w:lineRule="auto"/>
      </w:pPr>
      <w:r>
        <w:rPr>
          <w:sz w:val="18"/>
        </w:rPr>
        <w:t>Canonical/Manifest와 선택 Vendor Pack의 Install/Seed/Verify 파일을 확인합니다.</w:t>
      </w:r>
    </w:p>
    <w:p>
      <w:pPr>
        <w:pStyle w:val="ListNumber"/>
        <w:spacing w:after="20" w:line="250" w:lineRule="auto"/>
      </w:pPr>
      <w:r>
        <w:rPr>
          <w:sz w:val="18"/>
        </w:rPr>
        <w:t>빈 환경에 Install을 적용하고 Product Seed를 적용합니다.</w:t>
      </w:r>
    </w:p>
    <w:p>
      <w:pPr>
        <w:pStyle w:val="ListNumber"/>
        <w:spacing w:after="20" w:line="250" w:lineRule="auto"/>
      </w:pPr>
      <w:r>
        <w:rPr>
          <w:sz w:val="18"/>
        </w:rPr>
        <w:t>Verify SQL과 Object/Constraint/Index 상태를 확인합니다.</w:t>
      </w:r>
    </w:p>
    <w:p>
      <w:pPr>
        <w:pStyle w:val="ListNumber"/>
        <w:spacing w:after="20" w:line="250" w:lineRule="auto"/>
      </w:pPr>
      <w:r>
        <w:rPr>
          <w:sz w:val="18"/>
        </w:rPr>
        <w:t>Application 계정으로 Runtime Query가 동작하고 불필요한 DDL 권한이 없는지 확인합니다.</w:t>
      </w:r>
    </w:p>
    <w:p>
      <w:pPr>
        <w:pStyle w:val="Heading1"/>
      </w:pPr>
      <w:r>
        <w:t>7. 변경·Upgrade 순서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98"/>
        <w:gridCol w:w="7712"/>
      </w:tblGrid>
      <w:tr>
        <w:trPr>
          <w:tblHeader w:val="true"/>
          <w:cantSplit/>
        </w:trPr>
        <w:tc>
          <w:tcPr>
            <w:tcW w:type="dxa" w:w="2998"/>
            <w:shd w:fill="123B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b/>
                <w:color w:val="FFFFFF"/>
                <w:sz w:val="16"/>
              </w:rPr>
              <w:t>변경</w:t>
            </w:r>
          </w:p>
        </w:tc>
        <w:tc>
          <w:tcPr>
            <w:tcW w:type="dxa" w:w="7712"/>
            <w:shd w:fill="123B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b/>
                <w:color w:val="FFFFFF"/>
                <w:sz w:val="16"/>
              </w:rPr>
              <w:t>함께 확인</w:t>
            </w:r>
          </w:p>
        </w:tc>
      </w:tr>
      <w:tr>
        <w:trPr>
          <w:cantSplit/>
        </w:trPr>
        <w:tc>
          <w:tcPr>
            <w:tcW w:type="dxa" w:w="2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테이블/컬럼</w:t>
            </w:r>
          </w:p>
        </w:tc>
        <w:tc>
          <w:tcPr>
            <w:tcW w:type="dxa" w:w="771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Canonical → 3 Vendor Source → Migration → Rollback/Verify</w:t>
            </w:r>
          </w:p>
        </w:tc>
      </w:tr>
      <w:tr>
        <w:trPr>
          <w:cantSplit/>
        </w:trPr>
        <w:tc>
          <w:tcPr>
            <w:tcW w:type="dxa" w:w="2998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Index/FK</w:t>
            </w:r>
          </w:p>
        </w:tc>
        <w:tc>
          <w:tcPr>
            <w:tcW w:type="dxa" w:w="7712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조회 성능/무결성 + 3 Vendor DDL parity</w:t>
            </w:r>
          </w:p>
        </w:tc>
      </w:tr>
      <w:tr>
        <w:trPr>
          <w:cantSplit/>
        </w:trPr>
        <w:tc>
          <w:tcPr>
            <w:tcW w:type="dxa" w:w="2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Seed</w:t>
            </w:r>
          </w:p>
        </w:tc>
        <w:tc>
          <w:tcPr>
            <w:tcW w:type="dxa" w:w="771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신규 설치와 기존 환경 Upgrade 전략 분리</w:t>
            </w:r>
          </w:p>
        </w:tc>
      </w:tr>
      <w:tr>
        <w:trPr>
          <w:cantSplit/>
        </w:trPr>
        <w:tc>
          <w:tcPr>
            <w:tcW w:type="dxa" w:w="2998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Application</w:t>
            </w:r>
          </w:p>
        </w:tc>
        <w:tc>
          <w:tcPr>
            <w:tcW w:type="dxa" w:w="7712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Old/New Version 동시 호환 기간</w:t>
            </w:r>
          </w:p>
        </w:tc>
      </w:tr>
      <w:tr>
        <w:trPr>
          <w:cantSplit/>
        </w:trPr>
        <w:tc>
          <w:tcPr>
            <w:tcW w:type="dxa" w:w="2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Generated Domain</w:t>
            </w:r>
          </w:p>
        </w:tc>
        <w:tc>
          <w:tcPr>
            <w:tcW w:type="dxa" w:w="771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role/tablePrefix와 Vendor Template 일치</w:t>
            </w:r>
          </w:p>
        </w:tc>
      </w:tr>
    </w:tbl>
    <w:p>
      <w:pPr>
        <w:spacing w:after="60" w:line="269" w:lineRule="auto"/>
      </w:pPr>
    </w:p>
    <w:p>
      <w:pPr>
        <w:pStyle w:val="Heading1"/>
      </w:pPr>
      <w:r>
        <w:t>8. 계정·Secret 원칙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2"/>
        <w:gridCol w:w="7388"/>
      </w:tblGrid>
      <w:tr>
        <w:trPr>
          <w:tblHeader w:val="true"/>
          <w:cantSplit/>
        </w:trPr>
        <w:tc>
          <w:tcPr>
            <w:tcW w:type="dxa" w:w="3322"/>
            <w:shd w:fill="123B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b/>
                <w:color w:val="FFFFFF"/>
                <w:sz w:val="16"/>
              </w:rPr>
              <w:t>Identity</w:t>
            </w:r>
          </w:p>
        </w:tc>
        <w:tc>
          <w:tcPr>
            <w:tcW w:type="dxa" w:w="7388"/>
            <w:shd w:fill="123B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b/>
                <w:color w:val="FFFFFF"/>
                <w:sz w:val="16"/>
              </w:rPr>
              <w:t>권장 책임</w:t>
            </w:r>
          </w:p>
        </w:tc>
      </w:tr>
      <w:tr>
        <w:trPr>
          <w:cantSplit/>
        </w:trPr>
        <w:tc>
          <w:tcPr>
            <w:tcW w:type="dxa" w:w="332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Provision/Admin</w:t>
            </w:r>
          </w:p>
        </w:tc>
        <w:tc>
          <w:tcPr>
            <w:tcW w:type="dxa" w:w="73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Database/Schema/User 생성 등 관리</w:t>
            </w:r>
          </w:p>
        </w:tc>
      </w:tr>
      <w:tr>
        <w:trPr>
          <w:cantSplit/>
        </w:trPr>
        <w:tc>
          <w:tcPr>
            <w:tcW w:type="dxa" w:w="3322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Migration</w:t>
            </w:r>
          </w:p>
        </w:tc>
        <w:tc>
          <w:tcPr>
            <w:tcW w:type="dxa" w:w="7388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DDL/Migration 적용</w:t>
            </w:r>
          </w:p>
        </w:tc>
      </w:tr>
      <w:tr>
        <w:trPr>
          <w:cantSplit/>
        </w:trPr>
        <w:tc>
          <w:tcPr>
            <w:tcW w:type="dxa" w:w="332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Application</w:t>
            </w:r>
          </w:p>
        </w:tc>
        <w:tc>
          <w:tcPr>
            <w:tcW w:type="dxa" w:w="73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Runtime DML/Query 최소 권한</w:t>
            </w:r>
          </w:p>
        </w:tc>
      </w:tr>
      <w:tr>
        <w:trPr>
          <w:cantSplit/>
        </w:trPr>
        <w:tc>
          <w:tcPr>
            <w:tcW w:type="dxa" w:w="3322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Read-only/Operations</w:t>
            </w:r>
          </w:p>
        </w:tc>
        <w:tc>
          <w:tcPr>
            <w:tcW w:type="dxa" w:w="7388"/>
            <w:vAlign w:val="center"/>
            <w:shd w:fill="F8FAFD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 w:before="0"/>
              <w:jc w:val="left"/>
            </w:pPr>
            <w:r>
              <w:rPr>
                <w:color w:val="172B4D"/>
                <w:sz w:val="16"/>
              </w:rPr>
              <w:t>운영 조회가 필요한 경우 제한 권한</w:t>
            </w:r>
          </w:p>
        </w:tc>
      </w:tr>
    </w:tbl>
    <w:p>
      <w:pPr>
        <w:spacing w:after="60" w:line="269" w:lineRule="auto"/>
      </w:pPr>
    </w:p>
    <w:p>
      <w:pPr>
        <w:spacing w:after="60" w:line="269" w:lineRule="auto"/>
      </w:pPr>
      <w:r>
        <w:t>DB Password와 Token은 Source/Guide/Evidence에 평문으로 저장하지 않습니다. Application 계정에는 DDL/DROP/CREATE USER 권한을 기본 부여하지 않습니다.</w:t>
      </w:r>
    </w:p>
    <w:sectPr w:rsidR="00FC693F" w:rsidRPr="0006063C" w:rsidSect="00034616">
      <w:footerReference w:type="default" r:id="rId10"/>
      <w:headerReference w:type="default" r:id="rId11"/>
      <w:pgSz w:w="12240" w:h="15840"/>
      <w:pgMar w:top="822" w:right="879" w:bottom="765" w:left="879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085"/>
        <w:sz w:val="15"/>
      </w:rPr>
      <w:t>데이터베이스표준서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drawing>
        <wp:inline xmlns:a="http://schemas.openxmlformats.org/drawingml/2006/main" xmlns:pic="http://schemas.openxmlformats.org/drawingml/2006/picture">
          <wp:extent cx="1260000" cy="5985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60000" cy="5985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Noto Sans CJK KR" w:hAnsi="Noto Sans CJK KR" w:eastAsia="Noto Sans CJK KR"/>
      <w:color w:val="172B4D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23B7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72B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68C8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23B7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color w:val="172B4D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color w:val="172B4D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