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데이터베이스표준서</w:t>
      </w:r>
    </w:p>
    <w:p>
      <w:pPr>
        <w:pStyle w:val="Subtitle"/>
        <w:rPr/>
      </w:pPr>
      <w:r>
        <w:rPr>
          <w:rFonts w:eastAsia="Noto Sans KR" w:cs="Noto Sans KR" w:ascii="Noto Sans KR" w:hAnsi="Noto Sans KR"/>
        </w:rPr>
        <w:t>Oracle·PostgreSQL·MariaDB</w:t>
      </w:r>
      <w:r>
        <w:rPr>
          <w:rFonts w:ascii="Noto Sans KR" w:hAnsi="Noto Sans KR" w:cs="Noto Sans KR" w:eastAsia="Noto Sans KR"/>
        </w:rPr>
        <w:t xml:space="preserve">의 </w:t>
      </w:r>
      <w:r>
        <w:rPr>
          <w:rFonts w:eastAsia="Noto Sans KR" w:cs="Noto Sans KR" w:ascii="Noto Sans KR" w:hAnsi="Noto Sans KR"/>
        </w:rPr>
        <w:t xml:space="preserve">Schema·Migration·Recovery </w:t>
      </w:r>
      <w:r>
        <w:rPr>
          <w:rFonts w:ascii="Noto Sans KR" w:hAnsi="Noto Sans KR" w:cs="Noto Sans KR" w:eastAsia="Noto Sans KR"/>
        </w:rPr>
        <w:t>표준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eastAsia="Noto Sans KR" w:ascii="Noto Sans KR" w:hAnsi="Noto Sans KR" w:cs="Noto Sans KR"/>
        </w:rPr>
        <w:t xml:space="preserve">DBA·Backend </w:t>
      </w:r>
      <w:r>
        <w:rPr>
          <w:rFonts w:ascii="Noto Sans KR" w:hAnsi="Noto Sans KR" w:eastAsia="Noto Sans KR" w:cs="Noto Sans KR"/>
        </w:rPr>
        <w:t>개발자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운영자를 위한 실무 문서입니다</w:t>
      </w:r>
      <w:r>
        <w:rPr>
          <w:rFonts w:eastAsia="Noto Sans KR" w:ascii="Noto Sans KR" w:hAnsi="Noto Sans KR" w:cs="Noto Sans KR"/>
        </w:rPr>
        <w:t xml:space="preserve">. DB </w:t>
      </w:r>
      <w:r>
        <w:rPr>
          <w:rFonts w:ascii="Noto Sans KR" w:hAnsi="Noto Sans KR" w:eastAsia="Noto Sans KR" w:cs="Noto Sans KR"/>
        </w:rPr>
        <w:t xml:space="preserve">변경을 </w:t>
      </w:r>
      <w:r>
        <w:rPr>
          <w:rFonts w:eastAsia="Noto Sans KR" w:ascii="Noto Sans KR" w:hAnsi="Noto Sans KR" w:cs="Noto Sans KR"/>
        </w:rPr>
        <w:t>Canonical Source</w:t>
      </w:r>
      <w:r>
        <w:rPr>
          <w:rFonts w:ascii="Noto Sans KR" w:hAnsi="Noto Sans KR" w:eastAsia="Noto Sans KR" w:cs="Noto Sans KR"/>
        </w:rPr>
        <w:t xml:space="preserve">부터 </w:t>
      </w:r>
      <w:r>
        <w:rPr>
          <w:rFonts w:eastAsia="Noto Sans KR" w:ascii="Noto Sans KR" w:hAnsi="Noto Sans KR" w:cs="Noto Sans KR"/>
        </w:rPr>
        <w:t>Runtime/Recovery</w:t>
      </w:r>
      <w:r>
        <w:rPr>
          <w:rFonts w:ascii="Noto Sans KR" w:hAnsi="Noto Sans KR" w:eastAsia="Noto Sans KR" w:cs="Noto Sans KR"/>
        </w:rPr>
        <w:t>까지 안전하게 끝냅니다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DB3</w:t>
      </w:r>
      <w:r>
        <w:rPr>
          <w:rFonts w:ascii="Noto Sans KR" w:hAnsi="Noto Sans KR" w:cs="Noto Sans KR" w:eastAsia="Noto Sans KR"/>
          <w:color w:val="243547"/>
          <w:sz w:val="20"/>
        </w:rPr>
        <w:t xml:space="preserve">만 공식 </w:t>
      </w:r>
      <w:r>
        <w:rPr>
          <w:rFonts w:eastAsia="Noto Sans KR" w:cs="Noto Sans KR" w:ascii="Noto Sans KR" w:hAnsi="Noto Sans KR"/>
          <w:color w:val="243547"/>
          <w:sz w:val="20"/>
        </w:rPr>
        <w:t>Vendor</w:t>
      </w:r>
      <w:r>
        <w:rPr>
          <w:rFonts w:ascii="Noto Sans KR" w:hAnsi="Noto Sans KR" w:cs="Noto Sans KR" w:eastAsia="Noto Sans KR"/>
          <w:color w:val="243547"/>
          <w:sz w:val="20"/>
        </w:rPr>
        <w:t>로 사용합니다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Migration </w:t>
      </w:r>
      <w:r>
        <w:rPr>
          <w:rFonts w:ascii="Noto Sans KR" w:hAnsi="Noto Sans KR" w:cs="Noto Sans KR" w:eastAsia="Noto Sans KR"/>
          <w:color w:val="243547"/>
          <w:sz w:val="20"/>
        </w:rPr>
        <w:t xml:space="preserve">전 </w:t>
      </w:r>
      <w:r>
        <w:rPr>
          <w:rFonts w:eastAsia="Noto Sans KR" w:cs="Noto Sans KR" w:ascii="Noto Sans KR" w:hAnsi="Noto Sans KR"/>
          <w:color w:val="243547"/>
          <w:sz w:val="20"/>
        </w:rPr>
        <w:t>dry-run</w:t>
      </w:r>
      <w:r>
        <w:rPr>
          <w:rFonts w:ascii="Noto Sans KR" w:hAnsi="Noto Sans KR" w:cs="Noto Sans KR" w:eastAsia="Noto Sans KR"/>
          <w:color w:val="243547"/>
          <w:sz w:val="20"/>
        </w:rPr>
        <w:t xml:space="preserve">과 </w:t>
      </w:r>
      <w:r>
        <w:rPr>
          <w:rFonts w:eastAsia="Noto Sans KR" w:cs="Noto Sans KR" w:ascii="Noto Sans KR" w:hAnsi="Noto Sans KR"/>
          <w:color w:val="243547"/>
          <w:sz w:val="20"/>
        </w:rPr>
        <w:t>plan hash</w:t>
      </w:r>
      <w:r>
        <w:rPr>
          <w:rFonts w:ascii="Noto Sans KR" w:hAnsi="Noto Sans KR" w:cs="Noto Sans KR" w:eastAsia="Noto Sans KR"/>
          <w:color w:val="243547"/>
          <w:sz w:val="20"/>
        </w:rPr>
        <w:t>를 검토합니다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Vendor</w:t>
      </w:r>
      <w:r>
        <w:rPr>
          <w:rFonts w:ascii="Noto Sans KR" w:hAnsi="Noto Sans KR" w:cs="Noto Sans KR" w:eastAsia="Noto Sans KR"/>
          <w:color w:val="243547"/>
          <w:sz w:val="20"/>
        </w:rPr>
        <w:t xml:space="preserve">별 </w:t>
      </w:r>
      <w:r>
        <w:rPr>
          <w:rFonts w:eastAsia="Noto Sans KR" w:cs="Noto Sans KR" w:ascii="Noto Sans KR" w:hAnsi="Noto Sans KR"/>
          <w:color w:val="243547"/>
          <w:sz w:val="20"/>
        </w:rPr>
        <w:t xml:space="preserve">Lock/Index/DDL </w:t>
      </w:r>
      <w:r>
        <w:rPr>
          <w:rFonts w:ascii="Noto Sans KR" w:hAnsi="Noto Sans KR" w:cs="Noto Sans KR" w:eastAsia="Noto Sans KR"/>
          <w:color w:val="243547"/>
          <w:sz w:val="20"/>
        </w:rPr>
        <w:t>차이를 실제 검증합니다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5816_1421710836">
            <w:r>
              <w:rPr>
                <w:rStyle w:val="IndexLink"/>
              </w:rPr>
              <w:t>1 DB3</w:t>
            </w:r>
            <w:r>
              <w:rPr>
                <w:rStyle w:val="IndexLink"/>
              </w:rPr>
              <w:t>를 선택하고 준비하기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18_1421710836">
            <w:r>
              <w:rPr>
                <w:rStyle w:val="IndexLink"/>
              </w:rPr>
              <w:t xml:space="preserve">공식 </w:t>
            </w:r>
            <w:r>
              <w:rPr>
                <w:rStyle w:val="IndexLink"/>
              </w:rPr>
              <w:t>Vendor</w:t>
              <w:tab/>
              <w:t>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820_1421710836">
            <w:r>
              <w:rPr>
                <w:rStyle w:val="IndexLink"/>
              </w:rPr>
              <w:t>2 Schema · Table · Key · Index</w:t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22_1421710836">
            <w:r>
              <w:rPr>
                <w:rStyle w:val="IndexLink"/>
              </w:rPr>
              <w:t xml:space="preserve">설계 </w:t>
            </w:r>
            <w:r>
              <w:rPr>
                <w:rStyle w:val="IndexLink"/>
              </w:rPr>
              <w:t>Check</w:t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824_1421710836">
            <w:r>
              <w:rPr>
                <w:rStyle w:val="IndexLink"/>
              </w:rPr>
              <w:t>3 Migration Lifecycle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26_1421710836">
            <w:r>
              <w:rPr>
                <w:rStyle w:val="IndexLink"/>
              </w:rPr>
              <w:t>Lifecycle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28_1421710836">
            <w:r>
              <w:rPr>
                <w:rStyle w:val="IndexLink"/>
              </w:rPr>
              <w:t xml:space="preserve">먼저 </w:t>
            </w:r>
            <w:r>
              <w:rPr>
                <w:rStyle w:val="IndexLink"/>
              </w:rPr>
              <w:t>dry-run</w:t>
            </w:r>
            <w:r>
              <w:rPr>
                <w:rStyle w:val="IndexLink"/>
              </w:rPr>
              <w:t xml:space="preserve">과 </w:t>
            </w:r>
            <w:r>
              <w:rPr>
                <w:rStyle w:val="IndexLink"/>
              </w:rPr>
              <w:t xml:space="preserve">plan hash </w:t>
            </w:r>
            <w:r>
              <w:rPr>
                <w:rStyle w:val="IndexLink"/>
              </w:rPr>
              <w:t>검토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830_1421710836">
            <w:r>
              <w:rPr>
                <w:rStyle w:val="IndexLink"/>
              </w:rPr>
              <w:t>4 Transaction · Lock · Paging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32_1421710836">
            <w:r>
              <w:rPr>
                <w:rStyle w:val="IndexLink"/>
              </w:rPr>
              <w:t xml:space="preserve">DB3 </w:t>
            </w:r>
            <w:r>
              <w:rPr>
                <w:rStyle w:val="IndexLink"/>
              </w:rPr>
              <w:t>차이 확인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834_1421710836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>운영 변경과 복구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836_1421710836">
            <w:r>
              <w:rPr>
                <w:rStyle w:val="IndexLink"/>
              </w:rPr>
              <w:t>6 Upgrade·Rollback·Recovery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38_1421710836">
            <w:r>
              <w:rPr>
                <w:rStyle w:val="IndexLink"/>
              </w:rPr>
              <w:t>Upgrade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40_1421710836">
            <w:r>
              <w:rPr>
                <w:rStyle w:val="IndexLink"/>
              </w:rPr>
              <w:t>Rollback·Recovery</w:t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842_1421710836">
            <w:r>
              <w:rPr>
                <w:rStyle w:val="IndexLink"/>
              </w:rPr>
              <w:t>7 Runtime Query·Performance·Concurrency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44_1421710836">
            <w:r>
              <w:rPr>
                <w:rStyle w:val="IndexLink"/>
              </w:rPr>
              <w:t>Runtime Query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Index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46_1421710836">
            <w:r>
              <w:rPr>
                <w:rStyle w:val="IndexLink"/>
              </w:rPr>
              <w:t>Lock·Concurrency·Batch Claim</w:t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848_1421710836">
            <w:r>
              <w:rPr>
                <w:rStyle w:val="IndexLink"/>
              </w:rPr>
              <w:t>8 Schema Mismatch·Generator Binding·Evidence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50_1421710836">
            <w:r>
              <w:rPr>
                <w:rStyle w:val="IndexLink"/>
              </w:rPr>
              <w:t>Mismatch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Vendor Difference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52_1421710836">
            <w:r>
              <w:rPr>
                <w:rStyle w:val="IndexLink"/>
              </w:rPr>
              <w:t>Generator/DB Binding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54_1421710836">
            <w:r>
              <w:rPr>
                <w:rStyle w:val="IndexLink"/>
              </w:rPr>
              <w:t>Validation·Evidence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ascii="Noto Sans KR" w:hAnsi="Noto Sans KR" w:eastAsia="Noto Sans KR" w:cs="Noto Sans KR"/>
        </w:rPr>
      </w:r>
    </w:p>
    <w:p>
      <w:pPr>
        <w:pStyle w:val="Heading1"/>
        <w:keepNext w:val="true"/>
        <w:rPr/>
      </w:pPr>
      <w:bookmarkStart w:id="0" w:name="__RefHeading___Toc5816_1421710836"/>
      <w:bookmarkEnd w:id="0"/>
      <w:r>
        <w:rPr>
          <w:rFonts w:eastAsia="Noto Sans KR" w:cs="Noto Sans KR" w:ascii="Noto Sans KR" w:hAnsi="Noto Sans KR"/>
        </w:rPr>
        <w:t>1 DB3</w:t>
      </w:r>
      <w:r>
        <w:rPr>
          <w:rFonts w:ascii="Noto Sans KR" w:hAnsi="Noto Sans KR" w:cs="Noto Sans KR" w:eastAsia="Noto Sans KR"/>
        </w:rPr>
        <w:t>를 선택하고 준비하기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공식 </w:t>
      </w:r>
      <w:r>
        <w:rPr>
          <w:rFonts w:eastAsia="Noto Sans KR" w:cs="Noto Sans KR" w:ascii="Noto Sans KR" w:hAnsi="Noto Sans KR"/>
        </w:rPr>
        <w:t xml:space="preserve">Vendor </w:t>
      </w:r>
      <w:r>
        <w:rPr>
          <w:rFonts w:ascii="Noto Sans KR" w:hAnsi="Noto Sans KR" w:cs="Noto Sans KR" w:eastAsia="Noto Sans KR"/>
        </w:rPr>
        <w:t xml:space="preserve">중 하나를 선택해도 </w:t>
      </w:r>
      <w:r>
        <w:rPr>
          <w:rFonts w:eastAsia="Noto Sans KR" w:cs="Noto Sans KR" w:ascii="Noto Sans KR" w:hAnsi="Noto Sans KR"/>
        </w:rPr>
        <w:t>Canonical Source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3 Vendor parity</w:t>
      </w:r>
      <w:r>
        <w:rPr>
          <w:rFonts w:ascii="Noto Sans KR" w:hAnsi="Noto Sans KR" w:cs="Noto Sans KR" w:eastAsia="Noto Sans KR"/>
        </w:rPr>
        <w:t>는 유지합니다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5818_1421710836"/>
      <w:bookmarkEnd w:id="1"/>
      <w:r>
        <w:rPr>
          <w:rFonts w:ascii="Noto Sans KR" w:hAnsi="Noto Sans KR" w:cs="Noto Sans KR" w:eastAsia="Noto Sans KR"/>
        </w:rPr>
        <w:t xml:space="preserve">공식 </w:t>
      </w:r>
      <w:r>
        <w:rPr>
          <w:rFonts w:eastAsia="Noto Sans KR" w:cs="Noto Sans KR" w:ascii="Noto Sans KR" w:hAnsi="Noto Sans KR"/>
        </w:rPr>
        <w:t>Vendor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 xml:space="preserve">공식 </w:t>
      </w:r>
      <w:r>
        <w:rPr>
          <w:rFonts w:eastAsia="Noto Sans KR" w:ascii="Noto Sans KR" w:hAnsi="Noto Sans KR" w:cs="Noto Sans KR"/>
          <w:b/>
          <w:color w:val="17324D"/>
          <w:sz w:val="20"/>
        </w:rPr>
        <w:t>Vendor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 xml:space="preserve">공식 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Vendor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248558"/>
        <w:gridCol w:w="7795872"/>
      </w:tblGrid>
      <w:tr>
        <w:trPr>
          <w:tblHeader w:val="true"/>
          <w:trHeight w:val="397" w:hRule="atLeast"/>
          <w:cantSplit w:val="true"/>
        </w:trPr>
        <w:tc>
          <w:tcPr>
            <w:tcW w:w="224855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Vendor</w:t>
            </w:r>
          </w:p>
        </w:tc>
        <w:tc>
          <w:tcPr>
            <w:tcW w:w="779587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개발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검증</w:t>
            </w:r>
          </w:p>
        </w:tc>
      </w:tr>
      <w:tr>
        <w:trPr>
          <w:trHeight w:val="351" w:hRule="atLeast"/>
          <w:cantSplit w:val="true"/>
        </w:trPr>
        <w:tc>
          <w:tcPr>
            <w:tcW w:w="22485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Oracle</w:t>
            </w:r>
          </w:p>
        </w:tc>
        <w:tc>
          <w:tcPr>
            <w:tcW w:w="77958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DDL/Migration/Runtime/Recovery</w:t>
            </w:r>
          </w:p>
        </w:tc>
      </w:tr>
      <w:tr>
        <w:trPr>
          <w:trHeight w:val="351" w:hRule="atLeast"/>
          <w:cantSplit w:val="true"/>
        </w:trPr>
        <w:tc>
          <w:tcPr>
            <w:tcW w:w="22485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PostgreSQL</w:t>
            </w:r>
          </w:p>
        </w:tc>
        <w:tc>
          <w:tcPr>
            <w:tcW w:w="77958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DDL/Migration/Runtime/Recovery</w:t>
            </w:r>
          </w:p>
        </w:tc>
      </w:tr>
      <w:tr>
        <w:trPr>
          <w:trHeight w:val="351" w:hRule="atLeast"/>
          <w:cantSplit w:val="true"/>
        </w:trPr>
        <w:tc>
          <w:tcPr>
            <w:tcW w:w="224855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MariaDB</w:t>
            </w:r>
          </w:p>
        </w:tc>
        <w:tc>
          <w:tcPr>
            <w:tcW w:w="779587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DDL/Migration/Runtime/Recovery</w:t>
            </w:r>
          </w:p>
        </w:tc>
      </w:tr>
    </w:tbl>
    <w:p>
      <w:pPr>
        <w:pStyle w:val="Heading1"/>
        <w:keepNext w:val="true"/>
        <w:rPr/>
      </w:pPr>
      <w:bookmarkStart w:id="2" w:name="__RefHeading___Toc5820_1421710836"/>
      <w:bookmarkEnd w:id="2"/>
      <w:r>
        <w:rPr>
          <w:rFonts w:eastAsia="Noto Sans KR" w:cs="Noto Sans KR" w:ascii="Noto Sans KR" w:hAnsi="Noto Sans KR"/>
        </w:rPr>
        <w:t>2 Schema · Table · Key · Index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업무 원장과 운영 원장의 </w:t>
      </w:r>
      <w:r>
        <w:rPr>
          <w:rFonts w:eastAsia="Noto Sans KR" w:cs="Noto Sans KR" w:ascii="Noto Sans KR" w:hAnsi="Noto Sans KR"/>
        </w:rPr>
        <w:t>Owner/FK/Index</w:t>
      </w:r>
      <w:r>
        <w:rPr>
          <w:rFonts w:ascii="Noto Sans KR" w:hAnsi="Noto Sans KR" w:cs="Noto Sans KR" w:eastAsia="Noto Sans KR"/>
        </w:rPr>
        <w:t xml:space="preserve">를 </w:t>
      </w:r>
      <w:r>
        <w:rPr>
          <w:rFonts w:eastAsia="Noto Sans KR" w:cs="Noto Sans KR" w:ascii="Noto Sans KR" w:hAnsi="Noto Sans KR"/>
        </w:rPr>
        <w:t>Runtime Query</w:t>
      </w:r>
      <w:r>
        <w:rPr>
          <w:rFonts w:ascii="Noto Sans KR" w:hAnsi="Noto Sans KR" w:cs="Noto Sans KR" w:eastAsia="Noto Sans KR"/>
        </w:rPr>
        <w:t>와 함께 설계합니다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" w:name="__RefHeading___Toc5822_1421710836"/>
      <w:bookmarkEnd w:id="3"/>
      <w:r>
        <w:rPr>
          <w:rFonts w:ascii="Noto Sans KR" w:hAnsi="Noto Sans KR" w:cs="Noto Sans KR" w:eastAsia="Noto Sans KR"/>
        </w:rPr>
        <w:t xml:space="preserve">설계 </w:t>
      </w:r>
      <w:r>
        <w:rPr>
          <w:rFonts w:eastAsia="Noto Sans KR" w:cs="Noto Sans KR" w:ascii="Noto Sans KR" w:hAnsi="Noto Sans KR"/>
        </w:rPr>
        <w:t>Check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2-1. </w:t>
      </w:r>
      <w:r>
        <w:rPr>
          <w:rFonts w:ascii="Noto Sans KR" w:hAnsi="Noto Sans KR" w:eastAsia="Noto Sans KR" w:cs="Noto Sans KR"/>
          <w:b/>
          <w:color w:val="17324D"/>
          <w:sz w:val="20"/>
        </w:rPr>
        <w:t xml:space="preserve">설계 </w:t>
      </w:r>
      <w:r>
        <w:rPr>
          <w:rFonts w:eastAsia="Noto Sans KR" w:ascii="Noto Sans KR" w:hAnsi="Noto Sans KR" w:cs="Noto Sans KR"/>
          <w:b/>
          <w:color w:val="17324D"/>
          <w:sz w:val="20"/>
        </w:rPr>
        <w:t>Check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 xml:space="preserve">설계 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Check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537909"/>
        <w:gridCol w:w="7506521"/>
      </w:tblGrid>
      <w:tr>
        <w:trPr>
          <w:tblHeader w:val="true"/>
          <w:trHeight w:val="397" w:hRule="atLeast"/>
          <w:cantSplit w:val="true"/>
        </w:trPr>
        <w:tc>
          <w:tcPr>
            <w:tcW w:w="253790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항목</w:t>
            </w:r>
          </w:p>
        </w:tc>
        <w:tc>
          <w:tcPr>
            <w:tcW w:w="750652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확인</w:t>
            </w:r>
          </w:p>
        </w:tc>
      </w:tr>
      <w:tr>
        <w:trPr>
          <w:trHeight w:val="351" w:hRule="atLeast"/>
          <w:cantSplit w:val="true"/>
        </w:trPr>
        <w:tc>
          <w:tcPr>
            <w:tcW w:w="253790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Table</w:t>
            </w:r>
          </w:p>
        </w:tc>
        <w:tc>
          <w:tcPr>
            <w:tcW w:w="75065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Owner/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목적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보존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민감도</w:t>
            </w:r>
          </w:p>
        </w:tc>
      </w:tr>
      <w:tr>
        <w:trPr>
          <w:trHeight w:val="351" w:hRule="atLeast"/>
          <w:cantSplit w:val="true"/>
        </w:trPr>
        <w:tc>
          <w:tcPr>
            <w:tcW w:w="253790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PK/UK</w:t>
            </w:r>
          </w:p>
        </w:tc>
        <w:tc>
          <w:tcPr>
            <w:tcW w:w="75065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업무키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멱등키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 방지</w:t>
            </w:r>
          </w:p>
        </w:tc>
      </w:tr>
      <w:tr>
        <w:trPr>
          <w:trHeight w:val="351" w:hRule="atLeast"/>
          <w:cantSplit w:val="true"/>
        </w:trPr>
        <w:tc>
          <w:tcPr>
            <w:tcW w:w="253790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FK</w:t>
            </w:r>
          </w:p>
        </w:tc>
        <w:tc>
          <w:tcPr>
            <w:tcW w:w="75065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Owner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경계와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lifecycle</w:t>
            </w:r>
          </w:p>
        </w:tc>
      </w:tr>
      <w:tr>
        <w:trPr>
          <w:trHeight w:val="351" w:hRule="atLeast"/>
          <w:cantSplit w:val="true"/>
        </w:trPr>
        <w:tc>
          <w:tcPr>
            <w:tcW w:w="253790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Index</w:t>
            </w:r>
          </w:p>
        </w:tc>
        <w:tc>
          <w:tcPr>
            <w:tcW w:w="75065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실제 조회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/lock plan</w:t>
            </w:r>
          </w:p>
        </w:tc>
      </w:tr>
      <w:tr>
        <w:trPr>
          <w:trHeight w:val="351" w:hRule="atLeast"/>
          <w:cantSplit w:val="true"/>
        </w:trPr>
        <w:tc>
          <w:tcPr>
            <w:tcW w:w="253790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Metadata</w:t>
            </w:r>
          </w:p>
        </w:tc>
        <w:tc>
          <w:tcPr>
            <w:tcW w:w="75065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Schema version/migration history</w:t>
            </w:r>
          </w:p>
        </w:tc>
      </w:tr>
      <w:tr>
        <w:trPr>
          <w:trHeight w:val="351" w:hRule="atLeast"/>
          <w:cantSplit w:val="true"/>
        </w:trPr>
        <w:tc>
          <w:tcPr>
            <w:tcW w:w="253790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Audit fields</w:t>
            </w:r>
          </w:p>
        </w:tc>
        <w:tc>
          <w:tcPr>
            <w:tcW w:w="750652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생성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변경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 추적</w:t>
            </w:r>
          </w:p>
        </w:tc>
      </w:tr>
    </w:tbl>
    <w:p>
      <w:pPr>
        <w:pStyle w:val="Heading1"/>
        <w:keepNext w:val="true"/>
        <w:rPr/>
      </w:pPr>
      <w:bookmarkStart w:id="4" w:name="__RefHeading___Toc5824_1421710836"/>
      <w:bookmarkEnd w:id="4"/>
      <w:r>
        <w:rPr>
          <w:rFonts w:eastAsia="Noto Sans KR" w:cs="Noto Sans KR" w:ascii="Noto Sans KR" w:hAnsi="Noto Sans KR"/>
        </w:rPr>
        <w:t>3 Migration Lifecycle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단일 </w:t>
      </w:r>
      <w:r>
        <w:rPr>
          <w:rFonts w:eastAsia="Noto Sans KR" w:cs="Noto Sans KR" w:ascii="Noto Sans KR" w:hAnsi="Noto Sans KR"/>
        </w:rPr>
        <w:t xml:space="preserve">SQL </w:t>
      </w:r>
      <w:r>
        <w:rPr>
          <w:rFonts w:ascii="Noto Sans KR" w:hAnsi="Noto Sans KR" w:cs="Noto Sans KR" w:eastAsia="Noto Sans KR"/>
        </w:rPr>
        <w:t xml:space="preserve">수정이 아니라 </w:t>
      </w:r>
      <w:r>
        <w:rPr>
          <w:rFonts w:eastAsia="Noto Sans KR" w:cs="Noto Sans KR" w:ascii="Noto Sans KR" w:hAnsi="Noto Sans KR"/>
        </w:rPr>
        <w:t>Install→Upgrade→Rollback/Recovery→Runtime</w:t>
      </w:r>
      <w:r>
        <w:rPr>
          <w:rFonts w:ascii="Noto Sans KR" w:hAnsi="Noto Sans KR" w:cs="Noto Sans KR" w:eastAsia="Noto Sans KR"/>
        </w:rPr>
        <w:t>까지 닫습니다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5" w:name="__RefHeading___Toc5826_1421710836"/>
      <w:bookmarkEnd w:id="5"/>
      <w:r>
        <w:rPr>
          <w:rFonts w:eastAsia="Noto Sans KR" w:cs="Noto Sans KR" w:ascii="Noto Sans KR" w:hAnsi="Noto Sans KR"/>
        </w:rPr>
        <w:t>Lifecycle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3-1. Lifecycle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Lifecycle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4404758"/>
        <w:gridCol w:w="5639672"/>
      </w:tblGrid>
      <w:tr>
        <w:trPr>
          <w:tblHeader w:val="true"/>
          <w:trHeight w:val="397" w:hRule="atLeast"/>
          <w:cantSplit w:val="true"/>
        </w:trPr>
        <w:tc>
          <w:tcPr>
            <w:tcW w:w="440475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단계</w:t>
            </w:r>
          </w:p>
        </w:tc>
        <w:tc>
          <w:tcPr>
            <w:tcW w:w="563967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필수</w:t>
            </w:r>
          </w:p>
        </w:tc>
      </w:tr>
      <w:tr>
        <w:trPr>
          <w:trHeight w:val="351" w:hRule="atLeast"/>
          <w:cantSplit w:val="true"/>
        </w:trPr>
        <w:tc>
          <w:tcPr>
            <w:tcW w:w="44047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Canonical Source</w:t>
            </w:r>
          </w:p>
        </w:tc>
        <w:tc>
          <w:tcPr>
            <w:tcW w:w="5639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단일 정의</w:t>
            </w:r>
          </w:p>
        </w:tc>
      </w:tr>
      <w:tr>
        <w:trPr>
          <w:trHeight w:val="351" w:hRule="atLeast"/>
          <w:cantSplit w:val="true"/>
        </w:trPr>
        <w:tc>
          <w:tcPr>
            <w:tcW w:w="44047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Fresh Init</w:t>
            </w:r>
          </w:p>
        </w:tc>
        <w:tc>
          <w:tcPr>
            <w:tcW w:w="5639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빈 환경 준비</w:t>
            </w:r>
          </w:p>
        </w:tc>
      </w:tr>
      <w:tr>
        <w:trPr>
          <w:trHeight w:val="351" w:hRule="atLeast"/>
          <w:cantSplit w:val="true"/>
        </w:trPr>
        <w:tc>
          <w:tcPr>
            <w:tcW w:w="44047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Vendor Render</w:t>
            </w:r>
          </w:p>
        </w:tc>
        <w:tc>
          <w:tcPr>
            <w:tcW w:w="5639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Oracle/PostgreSQL/MariaDB</w:t>
            </w:r>
          </w:p>
        </w:tc>
      </w:tr>
      <w:tr>
        <w:trPr>
          <w:trHeight w:val="351" w:hRule="atLeast"/>
          <w:cantSplit w:val="true"/>
        </w:trPr>
        <w:tc>
          <w:tcPr>
            <w:tcW w:w="44047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Migration</w:t>
            </w:r>
          </w:p>
        </w:tc>
        <w:tc>
          <w:tcPr>
            <w:tcW w:w="5639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버전 전이</w:t>
            </w:r>
          </w:p>
        </w:tc>
      </w:tr>
      <w:tr>
        <w:trPr>
          <w:trHeight w:val="351" w:hRule="atLeast"/>
          <w:cantSplit w:val="true"/>
        </w:trPr>
        <w:tc>
          <w:tcPr>
            <w:tcW w:w="44047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Seed</w:t>
            </w:r>
          </w:p>
        </w:tc>
        <w:tc>
          <w:tcPr>
            <w:tcW w:w="5639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초기 데이터</w:t>
            </w:r>
          </w:p>
        </w:tc>
      </w:tr>
      <w:tr>
        <w:trPr>
          <w:trHeight w:val="351" w:hRule="atLeast"/>
          <w:cantSplit w:val="true"/>
        </w:trPr>
        <w:tc>
          <w:tcPr>
            <w:tcW w:w="44047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 Query</w:t>
            </w:r>
          </w:p>
        </w:tc>
        <w:tc>
          <w:tcPr>
            <w:tcW w:w="5639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Repository/Mapper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실제 실행</w:t>
            </w:r>
          </w:p>
        </w:tc>
      </w:tr>
      <w:tr>
        <w:trPr>
          <w:trHeight w:val="351" w:hRule="atLeast"/>
          <w:cantSplit w:val="true"/>
        </w:trPr>
        <w:tc>
          <w:tcPr>
            <w:tcW w:w="44047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Rollback/Recovery</w:t>
            </w:r>
          </w:p>
        </w:tc>
        <w:tc>
          <w:tcPr>
            <w:tcW w:w="5639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명시적 복구</w:t>
            </w:r>
          </w:p>
        </w:tc>
      </w:tr>
      <w:tr>
        <w:trPr>
          <w:trHeight w:val="351" w:hRule="atLeast"/>
          <w:cantSplit w:val="true"/>
        </w:trPr>
        <w:tc>
          <w:tcPr>
            <w:tcW w:w="440475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Generator/Test</w:t>
            </w:r>
          </w:p>
        </w:tc>
        <w:tc>
          <w:tcPr>
            <w:tcW w:w="563967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생성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Domain/DB3 parity</w:t>
            </w:r>
          </w:p>
        </w:tc>
      </w:tr>
    </w:tbl>
    <w:p>
      <w:pPr>
        <w:pStyle w:val="Heading2"/>
        <w:rPr/>
      </w:pPr>
      <w:bookmarkStart w:id="6" w:name="__RefHeading___Toc5828_1421710836"/>
      <w:bookmarkEnd w:id="6"/>
      <w:r>
        <w:rPr>
          <w:rFonts w:ascii="Noto Sans KR" w:hAnsi="Noto Sans KR" w:cs="Noto Sans KR" w:eastAsia="Noto Sans KR"/>
        </w:rPr>
        <w:t xml:space="preserve">먼저 </w:t>
      </w:r>
      <w:r>
        <w:rPr>
          <w:rFonts w:eastAsia="Noto Sans KR" w:cs="Noto Sans KR" w:ascii="Noto Sans KR" w:hAnsi="Noto Sans KR"/>
        </w:rPr>
        <w:t>dry-run</w:t>
      </w:r>
      <w:r>
        <w:rPr>
          <w:rFonts w:ascii="Noto Sans KR" w:hAnsi="Noto Sans KR" w:cs="Noto Sans KR" w:eastAsia="Noto Sans KR"/>
        </w:rPr>
        <w:t xml:space="preserve">과 </w:t>
      </w:r>
      <w:r>
        <w:rPr>
          <w:rFonts w:eastAsia="Noto Sans KR" w:cs="Noto Sans KR" w:ascii="Noto Sans KR" w:hAnsi="Noto Sans KR"/>
        </w:rPr>
        <w:t xml:space="preserve">plan hash </w:t>
      </w:r>
      <w:r>
        <w:rPr>
          <w:rFonts w:ascii="Noto Sans KR" w:hAnsi="Noto Sans KR" w:cs="Noto Sans KR" w:eastAsia="Noto Sans KR"/>
        </w:rPr>
        <w:t>검토</w:t>
      </w:r>
    </w:p>
    <w:p>
      <w:pPr>
        <w:pStyle w:val="CPFCode"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pwsh -NoProfile -File cpf-tools/db/tools/invoke-platform-database-migration.ps1 `</w:t>
        <w:br/>
        <w:t xml:space="preserve">  -ProfilePath &lt;profile.json&gt; -Direction upgrade -MigrationVersion &lt;version&gt; `</w:t>
        <w:br/>
        <w:t xml:space="preserve">  -Modules &lt;module&gt; -ResultPath &lt;result.json&gt; -DryRun</w:t>
      </w:r>
    </w:p>
    <w:p>
      <w:pPr>
        <w:pStyle w:val="Heading1"/>
        <w:keepNext w:val="true"/>
        <w:rPr/>
      </w:pPr>
      <w:bookmarkStart w:id="7" w:name="__RefHeading___Toc5830_1421710836"/>
      <w:bookmarkEnd w:id="7"/>
      <w:r>
        <w:rPr>
          <w:rFonts w:eastAsia="Noto Sans KR" w:cs="Noto Sans KR" w:ascii="Noto Sans KR" w:hAnsi="Noto Sans KR"/>
        </w:rPr>
        <w:t>4 Transaction · Lock · Paging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 xml:space="preserve">Vendor </w:t>
      </w:r>
      <w:r>
        <w:rPr>
          <w:rFonts w:ascii="Noto Sans KR" w:hAnsi="Noto Sans KR" w:cs="Noto Sans KR" w:eastAsia="Noto Sans KR"/>
        </w:rPr>
        <w:t>차이가 실제 동작으로 드러나는 지점을 테스트합니다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8" w:name="__RefHeading___Toc5832_1421710836"/>
      <w:bookmarkEnd w:id="8"/>
      <w:r>
        <w:rPr>
          <w:rFonts w:eastAsia="Noto Sans KR" w:cs="Noto Sans KR" w:ascii="Noto Sans KR" w:hAnsi="Noto Sans KR"/>
        </w:rPr>
        <w:t xml:space="preserve">DB3 </w:t>
      </w:r>
      <w:r>
        <w:rPr>
          <w:rFonts w:ascii="Noto Sans KR" w:hAnsi="Noto Sans KR" w:cs="Noto Sans KR" w:eastAsia="Noto Sans KR"/>
        </w:rPr>
        <w:t>차이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4-1. DB3 </w:t>
      </w:r>
      <w:r>
        <w:rPr>
          <w:rFonts w:ascii="Noto Sans KR" w:hAnsi="Noto Sans KR" w:eastAsia="Noto Sans KR" w:cs="Noto Sans KR"/>
          <w:b/>
          <w:color w:val="17324D"/>
          <w:sz w:val="20"/>
        </w:rPr>
        <w:t>차이 확인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DB3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차이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3344810"/>
        <w:gridCol w:w="6699620"/>
      </w:tblGrid>
      <w:tr>
        <w:trPr>
          <w:tblHeader w:val="true"/>
          <w:trHeight w:val="397" w:hRule="atLeast"/>
          <w:cantSplit w:val="true"/>
        </w:trPr>
        <w:tc>
          <w:tcPr>
            <w:tcW w:w="3344810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항목</w:t>
            </w:r>
          </w:p>
        </w:tc>
        <w:tc>
          <w:tcPr>
            <w:tcW w:w="669962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검증</w:t>
            </w:r>
          </w:p>
        </w:tc>
      </w:tr>
      <w:tr>
        <w:trPr>
          <w:trHeight w:val="351" w:hRule="atLeast"/>
          <w:cantSplit w:val="true"/>
        </w:trPr>
        <w:tc>
          <w:tcPr>
            <w:tcW w:w="33448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datatype</w:t>
            </w:r>
          </w:p>
        </w:tc>
        <w:tc>
          <w:tcPr>
            <w:tcW w:w="66996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정밀도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문자열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시간</w:t>
            </w:r>
          </w:p>
        </w:tc>
      </w:tr>
      <w:tr>
        <w:trPr>
          <w:trHeight w:val="351" w:hRule="atLeast"/>
          <w:cantSplit w:val="true"/>
        </w:trPr>
        <w:tc>
          <w:tcPr>
            <w:tcW w:w="33448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identity/sequence</w:t>
            </w:r>
          </w:p>
        </w:tc>
        <w:tc>
          <w:tcPr>
            <w:tcW w:w="66996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키 생성</w:t>
            </w:r>
          </w:p>
        </w:tc>
      </w:tr>
      <w:tr>
        <w:trPr>
          <w:trHeight w:val="351" w:hRule="atLeast"/>
          <w:cantSplit w:val="true"/>
        </w:trPr>
        <w:tc>
          <w:tcPr>
            <w:tcW w:w="33448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locking</w:t>
            </w:r>
          </w:p>
        </w:tc>
        <w:tc>
          <w:tcPr>
            <w:tcW w:w="66996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optimistic/pessimistic, timeout</w:t>
            </w:r>
          </w:p>
        </w:tc>
      </w:tr>
      <w:tr>
        <w:trPr>
          <w:trHeight w:val="351" w:hRule="atLeast"/>
          <w:cantSplit w:val="true"/>
        </w:trPr>
        <w:tc>
          <w:tcPr>
            <w:tcW w:w="33448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DDL syntax</w:t>
            </w:r>
          </w:p>
        </w:tc>
        <w:tc>
          <w:tcPr>
            <w:tcW w:w="66996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index/FK/default</w:t>
            </w:r>
          </w:p>
        </w:tc>
      </w:tr>
      <w:tr>
        <w:trPr>
          <w:trHeight w:val="351" w:hRule="atLeast"/>
          <w:cantSplit w:val="true"/>
        </w:trPr>
        <w:tc>
          <w:tcPr>
            <w:tcW w:w="33448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paging</w:t>
            </w:r>
          </w:p>
        </w:tc>
        <w:tc>
          <w:tcPr>
            <w:tcW w:w="66996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정렬 안정성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/limit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방식</w:t>
            </w:r>
          </w:p>
        </w:tc>
      </w:tr>
      <w:tr>
        <w:trPr>
          <w:trHeight w:val="351" w:hRule="atLeast"/>
          <w:cantSplit w:val="true"/>
        </w:trPr>
        <w:tc>
          <w:tcPr>
            <w:tcW w:w="3344810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isolation</w:t>
            </w:r>
          </w:p>
        </w:tc>
        <w:tc>
          <w:tcPr>
            <w:tcW w:w="669962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동시성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/phantom/deadlock</w:t>
            </w:r>
          </w:p>
        </w:tc>
      </w:tr>
    </w:tbl>
    <w:p>
      <w:pPr>
        <w:pStyle w:val="Heading1"/>
        <w:keepNext w:val="true"/>
        <w:rPr/>
      </w:pPr>
      <w:bookmarkStart w:id="9" w:name="__RefHeading___Toc5834_1421710836"/>
      <w:bookmarkEnd w:id="9"/>
      <w:r>
        <w:rPr>
          <w:rFonts w:eastAsia="Noto Sans KR" w:cs="Noto Sans KR" w:ascii="Noto Sans KR" w:hAnsi="Noto Sans KR"/>
        </w:rPr>
        <w:t xml:space="preserve">5 </w:t>
      </w:r>
      <w:r>
        <w:rPr>
          <w:rFonts w:ascii="Noto Sans KR" w:hAnsi="Noto Sans KR" w:cs="Noto Sans KR" w:eastAsia="Noto Sans KR"/>
        </w:rPr>
        <w:t>운영 변경과 복구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실제 환경 적용은 </w:t>
      </w:r>
      <w:r>
        <w:rPr>
          <w:rFonts w:eastAsia="Noto Sans KR" w:cs="Noto Sans KR" w:ascii="Noto Sans KR" w:hAnsi="Noto Sans KR"/>
        </w:rPr>
        <w:t>app stop/backup/approval/plan hash</w:t>
      </w:r>
      <w:r>
        <w:rPr>
          <w:rFonts w:ascii="Noto Sans KR" w:hAnsi="Noto Sans KR" w:cs="Noto Sans KR" w:eastAsia="Noto Sans KR"/>
        </w:rPr>
        <w:t>가 있어야 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Dry-run result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의 </w:t>
      </w:r>
      <w:r>
        <w:rPr>
          <w:rFonts w:eastAsia="Noto Sans KR" w:cs="Noto Sans KR" w:ascii="Noto Sans KR" w:hAnsi="Noto Sans KR"/>
          <w:color w:val="243547"/>
          <w:sz w:val="20"/>
        </w:rPr>
        <w:t>planSha256</w:t>
      </w:r>
      <w:r>
        <w:rPr>
          <w:rFonts w:ascii="Noto Sans KR" w:hAnsi="Noto Sans KR" w:cs="Noto Sans KR" w:eastAsia="Noto Sans KR"/>
          <w:color w:val="243547"/>
          <w:sz w:val="20"/>
        </w:rPr>
        <w:t xml:space="preserve">과 </w:t>
      </w:r>
      <w:r>
        <w:rPr>
          <w:rFonts w:eastAsia="Noto Sans KR" w:cs="Noto Sans KR" w:ascii="Noto Sans KR" w:hAnsi="Noto Sans KR"/>
          <w:color w:val="243547"/>
          <w:sz w:val="20"/>
        </w:rPr>
        <w:t>operation</w:t>
      </w:r>
      <w:r>
        <w:rPr>
          <w:rFonts w:ascii="Noto Sans KR" w:hAnsi="Noto Sans KR" w:cs="Noto Sans KR" w:eastAsia="Noto Sans KR"/>
          <w:color w:val="243547"/>
          <w:sz w:val="20"/>
        </w:rPr>
        <w:t xml:space="preserve">별 </w:t>
      </w:r>
      <w:r>
        <w:rPr>
          <w:rFonts w:eastAsia="Noto Sans KR" w:cs="Noto Sans KR" w:ascii="Noto Sans KR" w:hAnsi="Noto Sans KR"/>
          <w:color w:val="243547"/>
          <w:sz w:val="20"/>
        </w:rPr>
        <w:t>migration/rollback hash</w:t>
      </w:r>
      <w:r>
        <w:rPr>
          <w:rFonts w:ascii="Noto Sans KR" w:hAnsi="Noto Sans KR" w:cs="Noto Sans KR" w:eastAsia="Noto Sans KR"/>
          <w:color w:val="243547"/>
          <w:sz w:val="20"/>
        </w:rPr>
        <w:t>를 검토합니다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Apply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</w:t>
      </w:r>
      <w:r>
        <w:rPr>
          <w:rFonts w:eastAsia="Noto Sans KR" w:cs="Noto Sans KR" w:ascii="Noto Sans KR" w:hAnsi="Noto Sans KR"/>
          <w:color w:val="243547"/>
          <w:sz w:val="20"/>
        </w:rPr>
        <w:t>ConfirmApply, ConfirmApplicationsStopped, ConfirmRollbackReady, ExpectedPlanSha256, BackupManifestPath, Operator, Reason, ApprovalReference</w:t>
      </w:r>
      <w:r>
        <w:rPr>
          <w:rFonts w:ascii="Noto Sans KR" w:hAnsi="Noto Sans KR" w:cs="Noto Sans KR" w:eastAsia="Noto Sans KR"/>
          <w:color w:val="243547"/>
          <w:sz w:val="20"/>
        </w:rPr>
        <w:t>를 요구합니다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Client/DDL/Network </w:t>
      </w:r>
      <w:r>
        <w:rPr>
          <w:rFonts w:ascii="Noto Sans KR" w:hAnsi="Noto Sans KR" w:cs="Noto Sans KR" w:eastAsia="Noto Sans KR"/>
          <w:color w:val="243547"/>
          <w:sz w:val="20"/>
        </w:rPr>
        <w:t xml:space="preserve">실패 후 </w:t>
      </w:r>
      <w:r>
        <w:rPr>
          <w:rFonts w:eastAsia="Noto Sans KR" w:cs="Noto Sans KR" w:ascii="Noto Sans KR" w:hAnsi="Noto Sans KR"/>
          <w:color w:val="243547"/>
          <w:sz w:val="20"/>
        </w:rPr>
        <w:t>reconcileRequired=true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이면 자동 </w:t>
      </w:r>
      <w:r>
        <w:rPr>
          <w:rFonts w:eastAsia="Noto Sans KR" w:cs="Noto Sans KR" w:ascii="Noto Sans KR" w:hAnsi="Noto Sans KR"/>
          <w:color w:val="243547"/>
          <w:sz w:val="20"/>
        </w:rPr>
        <w:t>rollback</w:t>
      </w:r>
      <w:r>
        <w:rPr>
          <w:rFonts w:ascii="Noto Sans KR" w:hAnsi="Noto Sans KR" w:cs="Noto Sans KR" w:eastAsia="Noto Sans KR"/>
          <w:color w:val="243547"/>
          <w:sz w:val="20"/>
        </w:rPr>
        <w:t>이나 성공을 추정하지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1"/>
        <w:pageBreakBefore/>
        <w:rPr/>
      </w:pPr>
      <w:bookmarkStart w:id="10" w:name="__RefHeading___Toc5836_1421710836"/>
      <w:bookmarkEnd w:id="10"/>
      <w:r>
        <w:rPr>
          <w:rFonts w:ascii="Noto Sans KR" w:hAnsi="Noto Sans KR" w:eastAsia="Noto Sans KR" w:cs="Noto Sans KR"/>
        </w:rPr>
        <w:t>6 Upgrade·Rollback·Recovery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>Upgrade</w:t>
      </w:r>
      <w:r>
        <w:rPr>
          <w:rFonts w:ascii="Noto Sans KR" w:hAnsi="Noto Sans KR" w:eastAsia="Noto Sans KR" w:cs="Noto Sans KR"/>
        </w:rPr>
        <w:t xml:space="preserve">는 현재 </w:t>
      </w:r>
      <w:r>
        <w:rPr>
          <w:rFonts w:eastAsia="Noto Sans KR" w:ascii="Noto Sans KR" w:hAnsi="Noto Sans KR" w:cs="Noto Sans KR"/>
        </w:rPr>
        <w:t>Schema</w:t>
      </w:r>
      <w:r>
        <w:rPr>
          <w:rFonts w:ascii="Noto Sans KR" w:hAnsi="Noto Sans KR" w:eastAsia="Noto Sans KR" w:cs="Noto Sans KR"/>
        </w:rPr>
        <w:t xml:space="preserve">와 목표 </w:t>
      </w:r>
      <w:r>
        <w:rPr>
          <w:rFonts w:eastAsia="Noto Sans KR" w:ascii="Noto Sans KR" w:hAnsi="Noto Sans KR" w:cs="Noto Sans KR"/>
        </w:rPr>
        <w:t>Schema</w:t>
      </w:r>
      <w:r>
        <w:rPr>
          <w:rFonts w:ascii="Noto Sans KR" w:hAnsi="Noto Sans KR" w:eastAsia="Noto Sans KR" w:cs="Noto Sans KR"/>
        </w:rPr>
        <w:t xml:space="preserve">의 차이를 검증 가능한 </w:t>
      </w:r>
      <w:r>
        <w:rPr>
          <w:rFonts w:eastAsia="Noto Sans KR" w:ascii="Noto Sans KR" w:hAnsi="Noto Sans KR" w:cs="Noto Sans KR"/>
        </w:rPr>
        <w:t>plan</w:t>
      </w:r>
      <w:r>
        <w:rPr>
          <w:rFonts w:ascii="Noto Sans KR" w:hAnsi="Noto Sans KR" w:eastAsia="Noto Sans KR" w:cs="Noto Sans KR"/>
        </w:rPr>
        <w:t xml:space="preserve">으로 만들고 실제 적용 전 </w:t>
      </w:r>
      <w:r>
        <w:rPr>
          <w:rFonts w:eastAsia="Noto Sans KR" w:ascii="Noto Sans KR" w:hAnsi="Noto Sans KR" w:cs="Noto Sans KR"/>
        </w:rPr>
        <w:t xml:space="preserve">rollback/recovery </w:t>
      </w:r>
      <w:r>
        <w:rPr>
          <w:rFonts w:ascii="Noto Sans KR" w:hAnsi="Noto Sans KR" w:eastAsia="Noto Sans KR" w:cs="Noto Sans KR"/>
        </w:rPr>
        <w:t>경로를 확정합니다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1" w:name="__RefHeading___Toc5838_1421710836"/>
      <w:bookmarkEnd w:id="11"/>
      <w:r>
        <w:rPr>
          <w:rFonts w:ascii="Noto Sans KR" w:hAnsi="Noto Sans KR" w:eastAsia="Noto Sans KR" w:cs="Noto Sans KR"/>
        </w:rPr>
        <w:t>Upgrade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dry-run </w:t>
      </w:r>
      <w:r>
        <w:rPr>
          <w:rFonts w:ascii="Noto Sans KR" w:hAnsi="Noto Sans KR" w:eastAsia="Noto Sans KR" w:cs="Noto Sans KR"/>
        </w:rPr>
        <w:t>결과</w:t>
      </w:r>
      <w:r>
        <w:rPr>
          <w:rFonts w:eastAsia="Noto Sans KR" w:ascii="Noto Sans KR" w:hAnsi="Noto Sans KR" w:cs="Noto Sans KR"/>
        </w:rPr>
        <w:t xml:space="preserve">, plan hash, </w:t>
      </w:r>
      <w:r>
        <w:rPr>
          <w:rFonts w:ascii="Noto Sans KR" w:hAnsi="Noto Sans KR" w:eastAsia="Noto Sans KR" w:cs="Noto Sans KR"/>
        </w:rPr>
        <w:t xml:space="preserve">대상 </w:t>
      </w:r>
      <w:r>
        <w:rPr>
          <w:rFonts w:eastAsia="Noto Sans KR" w:ascii="Noto Sans KR" w:hAnsi="Noto Sans KR" w:cs="Noto Sans KR"/>
        </w:rPr>
        <w:t xml:space="preserve">Vendor/Schema, </w:t>
      </w:r>
      <w:r>
        <w:rPr>
          <w:rFonts w:ascii="Noto Sans KR" w:hAnsi="Noto Sans KR" w:eastAsia="Noto Sans KR" w:cs="Noto Sans KR"/>
        </w:rPr>
        <w:t>적용 순서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예상 </w:t>
      </w:r>
      <w:r>
        <w:rPr>
          <w:rFonts w:eastAsia="Noto Sans KR" w:ascii="Noto Sans KR" w:hAnsi="Noto Sans KR" w:cs="Noto Sans KR"/>
        </w:rPr>
        <w:t>Lock/</w:t>
      </w:r>
      <w:r>
        <w:rPr>
          <w:rFonts w:ascii="Noto Sans KR" w:hAnsi="Noto Sans KR" w:eastAsia="Noto Sans KR" w:cs="Noto Sans KR"/>
        </w:rPr>
        <w:t>소요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애플리케이션 호환성을 검토한 뒤 승인된 </w:t>
      </w:r>
      <w:r>
        <w:rPr>
          <w:rFonts w:eastAsia="Noto Sans KR" w:ascii="Noto Sans KR" w:hAnsi="Noto Sans KR" w:cs="Noto Sans KR"/>
        </w:rPr>
        <w:t>plan</w:t>
      </w:r>
      <w:r>
        <w:rPr>
          <w:rFonts w:ascii="Noto Sans KR" w:hAnsi="Noto Sans KR" w:eastAsia="Noto Sans KR" w:cs="Noto Sans KR"/>
        </w:rPr>
        <w:t>만 실행합니다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2" w:name="__RefHeading___Toc5840_1421710836"/>
      <w:bookmarkEnd w:id="12"/>
      <w:r>
        <w:rPr>
          <w:rFonts w:ascii="Noto Sans KR" w:hAnsi="Noto Sans KR" w:eastAsia="Noto Sans KR" w:cs="Noto Sans KR"/>
        </w:rPr>
        <w:t>Rollback·Recovery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역변환이 안전하지 않은 변경은 억지 </w:t>
      </w:r>
      <w:r>
        <w:rPr>
          <w:rFonts w:eastAsia="Noto Sans KR" w:ascii="Noto Sans KR" w:hAnsi="Noto Sans KR" w:cs="Noto Sans KR"/>
        </w:rPr>
        <w:t>Rollback SQL</w:t>
      </w:r>
      <w:r>
        <w:rPr>
          <w:rFonts w:ascii="Noto Sans KR" w:hAnsi="Noto Sans KR" w:eastAsia="Noto Sans KR" w:cs="Noto Sans KR"/>
        </w:rPr>
        <w:t xml:space="preserve">을 만들지 않고 </w:t>
      </w:r>
      <w:r>
        <w:rPr>
          <w:rFonts w:eastAsia="Noto Sans KR" w:ascii="Noto Sans KR" w:hAnsi="Noto Sans KR" w:cs="Noto Sans KR"/>
        </w:rPr>
        <w:t xml:space="preserve">forward recovery/restore </w:t>
      </w:r>
      <w:r>
        <w:rPr>
          <w:rFonts w:ascii="Noto Sans KR" w:hAnsi="Noto Sans KR" w:eastAsia="Noto Sans KR" w:cs="Noto Sans KR"/>
        </w:rPr>
        <w:t>전략을 명시합니다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데이터 손실 가능성이 있으면 </w:t>
      </w:r>
      <w:r>
        <w:rPr>
          <w:rFonts w:eastAsia="Noto Sans KR" w:ascii="Noto Sans KR" w:hAnsi="Noto Sans KR" w:cs="Noto Sans KR"/>
        </w:rPr>
        <w:t>Backup Manifest</w:t>
      </w:r>
      <w:r>
        <w:rPr>
          <w:rFonts w:ascii="Noto Sans KR" w:hAnsi="Noto Sans KR" w:eastAsia="Noto Sans KR" w:cs="Noto Sans KR"/>
        </w:rPr>
        <w:t>와 복구 검증을 필수로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 w:val="0"/>
        <w:rPr/>
      </w:pPr>
      <w:bookmarkStart w:id="13" w:name="__RefHeading___Toc5842_1421710836"/>
      <w:bookmarkEnd w:id="13"/>
      <w:r>
        <w:rPr>
          <w:rFonts w:ascii="Noto Sans KR" w:hAnsi="Noto Sans KR" w:eastAsia="Noto Sans KR" w:cs="Noto Sans KR"/>
        </w:rPr>
        <w:t>7 Runtime Query·Performance·Concurrency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>DDL</w:t>
      </w:r>
      <w:r>
        <w:rPr>
          <w:rFonts w:ascii="Noto Sans KR" w:hAnsi="Noto Sans KR" w:eastAsia="Noto Sans KR" w:cs="Noto Sans KR"/>
        </w:rPr>
        <w:t xml:space="preserve">이 성공해도 실제 </w:t>
      </w:r>
      <w:r>
        <w:rPr>
          <w:rFonts w:eastAsia="Noto Sans KR" w:ascii="Noto Sans KR" w:hAnsi="Noto Sans KR" w:cs="Noto Sans KR"/>
        </w:rPr>
        <w:t>Query/Lock/Index/Batch Claim</w:t>
      </w:r>
      <w:r>
        <w:rPr>
          <w:rFonts w:ascii="Noto Sans KR" w:hAnsi="Noto Sans KR" w:eastAsia="Noto Sans KR" w:cs="Noto Sans KR"/>
        </w:rPr>
        <w:t xml:space="preserve">이 </w:t>
      </w:r>
      <w:r>
        <w:rPr>
          <w:rFonts w:eastAsia="Noto Sans KR" w:ascii="Noto Sans KR" w:hAnsi="Noto Sans KR" w:cs="Noto Sans KR"/>
        </w:rPr>
        <w:t>Vendor</w:t>
      </w:r>
      <w:r>
        <w:rPr>
          <w:rFonts w:ascii="Noto Sans KR" w:hAnsi="Noto Sans KR" w:eastAsia="Noto Sans KR" w:cs="Noto Sans KR"/>
        </w:rPr>
        <w:t>별로 동일한 업무 의미를 가져야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4" w:name="__RefHeading___Toc5844_1421710836"/>
      <w:bookmarkEnd w:id="14"/>
      <w:r>
        <w:rPr>
          <w:rFonts w:ascii="Noto Sans KR" w:hAnsi="Noto Sans KR" w:eastAsia="Noto Sans KR" w:cs="Noto Sans KR"/>
        </w:rPr>
        <w:t>Runtime Query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>Index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Repository/Mapper</w:t>
      </w:r>
      <w:r>
        <w:rPr>
          <w:rFonts w:ascii="Noto Sans KR" w:hAnsi="Noto Sans KR" w:eastAsia="Noto Sans KR" w:cs="Noto Sans KR"/>
        </w:rPr>
        <w:t xml:space="preserve">의 </w:t>
      </w:r>
      <w:r>
        <w:rPr>
          <w:rFonts w:eastAsia="Noto Sans KR" w:ascii="Noto Sans KR" w:hAnsi="Noto Sans KR" w:cs="Noto Sans KR"/>
        </w:rPr>
        <w:t xml:space="preserve">where/order/join </w:t>
      </w:r>
      <w:r>
        <w:rPr>
          <w:rFonts w:ascii="Noto Sans KR" w:hAnsi="Noto Sans KR" w:eastAsia="Noto Sans KR" w:cs="Noto Sans KR"/>
        </w:rPr>
        <w:t xml:space="preserve">조건을 기준으로 </w:t>
      </w:r>
      <w:r>
        <w:rPr>
          <w:rFonts w:eastAsia="Noto Sans KR" w:ascii="Noto Sans KR" w:hAnsi="Noto Sans KR" w:cs="Noto Sans KR"/>
        </w:rPr>
        <w:t>Index</w:t>
      </w:r>
      <w:r>
        <w:rPr>
          <w:rFonts w:ascii="Noto Sans KR" w:hAnsi="Noto Sans KR" w:eastAsia="Noto Sans KR" w:cs="Noto Sans KR"/>
        </w:rPr>
        <w:t xml:space="preserve">를 설계하고 사용하지 않는 </w:t>
      </w:r>
      <w:r>
        <w:rPr>
          <w:rFonts w:eastAsia="Noto Sans KR" w:ascii="Noto Sans KR" w:hAnsi="Noto Sans KR" w:cs="Noto Sans KR"/>
        </w:rPr>
        <w:t>Index</w:t>
      </w:r>
      <w:r>
        <w:rPr>
          <w:rFonts w:ascii="Noto Sans KR" w:hAnsi="Noto Sans KR" w:eastAsia="Noto Sans KR" w:cs="Noto Sans KR"/>
        </w:rPr>
        <w:t>를 관성적으로 추가하지 않습니다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대량 </w:t>
      </w:r>
      <w:r>
        <w:rPr>
          <w:rFonts w:eastAsia="Noto Sans KR" w:ascii="Noto Sans KR" w:hAnsi="Noto Sans KR" w:cs="Noto Sans KR"/>
        </w:rPr>
        <w:t>Paging</w:t>
      </w:r>
      <w:r>
        <w:rPr>
          <w:rFonts w:ascii="Noto Sans KR" w:hAnsi="Noto Sans KR" w:eastAsia="Noto Sans KR" w:cs="Noto Sans KR"/>
        </w:rPr>
        <w:t>은 안정 정렬키와 재시작 지점을 사용합니다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5" w:name="__RefHeading___Toc5846_1421710836"/>
      <w:bookmarkEnd w:id="15"/>
      <w:r>
        <w:rPr>
          <w:rFonts w:ascii="Noto Sans KR" w:hAnsi="Noto Sans KR" w:eastAsia="Noto Sans KR" w:cs="Noto Sans KR"/>
        </w:rPr>
        <w:t>Lock·Concurrency·Batch Claim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>낙관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 xml:space="preserve">비관 </w:t>
      </w:r>
      <w:r>
        <w:rPr>
          <w:rFonts w:eastAsia="Noto Sans KR" w:ascii="Noto Sans KR" w:hAnsi="Noto Sans KR" w:cs="Noto Sans KR"/>
        </w:rPr>
        <w:t>Lock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>Claim Query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Oracle/PostgreSQL/MariaDB</w:t>
      </w:r>
      <w:r>
        <w:rPr>
          <w:rFonts w:ascii="Noto Sans KR" w:hAnsi="Noto Sans KR" w:eastAsia="Noto Sans KR" w:cs="Noto Sans KR"/>
        </w:rPr>
        <w:t>의 문법 차이보다 동일한 중복 방지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소유권 의미가 우선입니다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 w:val="0"/>
        <w:rPr/>
      </w:pPr>
      <w:bookmarkStart w:id="16" w:name="__RefHeading___Toc5848_1421710836"/>
      <w:bookmarkEnd w:id="16"/>
      <w:r>
        <w:rPr>
          <w:rFonts w:ascii="Noto Sans KR" w:hAnsi="Noto Sans KR" w:eastAsia="Noto Sans KR" w:cs="Noto Sans KR"/>
        </w:rPr>
        <w:t>8 Schema Mismatch·Generator Binding·Evidence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 xml:space="preserve">Canonical metadata, Vendor DDL, </w:t>
      </w:r>
      <w:r>
        <w:rPr>
          <w:rFonts w:ascii="Noto Sans KR" w:hAnsi="Noto Sans KR" w:eastAsia="Noto Sans KR" w:cs="Noto Sans KR"/>
        </w:rPr>
        <w:t xml:space="preserve">실제 </w:t>
      </w:r>
      <w:r>
        <w:rPr>
          <w:rFonts w:eastAsia="Noto Sans KR" w:ascii="Noto Sans KR" w:hAnsi="Noto Sans KR" w:cs="Noto Sans KR"/>
        </w:rPr>
        <w:t>Schema, Generated Domain binding</w:t>
      </w:r>
      <w:r>
        <w:rPr>
          <w:rFonts w:ascii="Noto Sans KR" w:hAnsi="Noto Sans KR" w:eastAsia="Noto Sans KR" w:cs="Noto Sans KR"/>
        </w:rPr>
        <w:t xml:space="preserve">이 다르면 </w:t>
      </w:r>
      <w:r>
        <w:rPr>
          <w:rFonts w:eastAsia="Noto Sans KR" w:ascii="Noto Sans KR" w:hAnsi="Noto Sans KR" w:cs="Noto Sans KR"/>
        </w:rPr>
        <w:t xml:space="preserve">fail-closed </w:t>
      </w:r>
      <w:r>
        <w:rPr>
          <w:rFonts w:ascii="Noto Sans KR" w:hAnsi="Noto Sans KR" w:eastAsia="Noto Sans KR" w:cs="Noto Sans KR"/>
        </w:rPr>
        <w:t>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7" w:name="__RefHeading___Toc5850_1421710836"/>
      <w:bookmarkEnd w:id="17"/>
      <w:r>
        <w:rPr>
          <w:rFonts w:ascii="Noto Sans KR" w:hAnsi="Noto Sans KR" w:eastAsia="Noto Sans KR" w:cs="Noto Sans KR"/>
        </w:rPr>
        <w:t>Mismatch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>Vendor Difference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Column type/nullability/default/index/FK</w:t>
      </w:r>
      <w:r>
        <w:rPr>
          <w:rFonts w:ascii="Noto Sans KR" w:hAnsi="Noto Sans KR" w:eastAsia="Noto Sans KR" w:cs="Noto Sans KR"/>
        </w:rPr>
        <w:t xml:space="preserve">가 </w:t>
      </w:r>
      <w:r>
        <w:rPr>
          <w:rFonts w:eastAsia="Noto Sans KR" w:ascii="Noto Sans KR" w:hAnsi="Noto Sans KR" w:cs="Noto Sans KR"/>
        </w:rPr>
        <w:t xml:space="preserve">Canonical </w:t>
      </w:r>
      <w:r>
        <w:rPr>
          <w:rFonts w:ascii="Noto Sans KR" w:hAnsi="Noto Sans KR" w:eastAsia="Noto Sans KR" w:cs="Noto Sans KR"/>
        </w:rPr>
        <w:t>정의와 다르면 자동으로 성공 처리하지 않고 차이와 영향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적용 순서를 제시합니다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8" w:name="__RefHeading___Toc5852_1421710836"/>
      <w:bookmarkEnd w:id="18"/>
      <w:r>
        <w:rPr>
          <w:rFonts w:ascii="Noto Sans KR" w:hAnsi="Noto Sans KR" w:eastAsia="Noto Sans KR" w:cs="Noto Sans KR"/>
        </w:rPr>
        <w:t>Generator/DB Binding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Generated Domain</w:t>
      </w:r>
      <w:r>
        <w:rPr>
          <w:rFonts w:ascii="Noto Sans KR" w:hAnsi="Noto Sans KR" w:eastAsia="Noto Sans KR" w:cs="Noto Sans KR"/>
        </w:rPr>
        <w:t xml:space="preserve">의 </w:t>
      </w:r>
      <w:r>
        <w:rPr>
          <w:rFonts w:eastAsia="Noto Sans KR" w:ascii="Noto Sans KR" w:hAnsi="Noto Sans KR" w:cs="Noto Sans KR"/>
        </w:rPr>
        <w:t>databaseName/schema/tablePrefix/vendor binding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>Runtime datasource</w:t>
      </w:r>
      <w:r>
        <w:rPr>
          <w:rFonts w:ascii="Noto Sans KR" w:hAnsi="Noto Sans KR" w:eastAsia="Noto Sans KR" w:cs="Noto Sans KR"/>
        </w:rPr>
        <w:t xml:space="preserve">가 같은 </w:t>
      </w:r>
      <w:r>
        <w:rPr>
          <w:rFonts w:eastAsia="Noto Sans KR" w:ascii="Noto Sans KR" w:hAnsi="Noto Sans KR" w:cs="Noto Sans KR"/>
        </w:rPr>
        <w:t>Owner DB</w:t>
      </w:r>
      <w:r>
        <w:rPr>
          <w:rFonts w:ascii="Noto Sans KR" w:hAnsi="Noto Sans KR" w:eastAsia="Noto Sans KR" w:cs="Noto Sans KR"/>
        </w:rPr>
        <w:t>를 가리키는지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9" w:name="__RefHeading___Toc5854_1421710836"/>
      <w:bookmarkEnd w:id="19"/>
      <w:r>
        <w:rPr>
          <w:rFonts w:ascii="Noto Sans KR" w:hAnsi="Noto Sans KR" w:eastAsia="Noto Sans KR" w:cs="Noto Sans KR"/>
        </w:rPr>
        <w:t>Validation·Evidence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Fresh Initialization→Migration→Seed→</w:t>
      </w:r>
      <w:r>
        <w:rPr>
          <w:rFonts w:ascii="Noto Sans KR" w:hAnsi="Noto Sans KR" w:eastAsia="Noto Sans KR" w:cs="Noto Sans KR"/>
        </w:rPr>
        <w:t>실제 거래→</w:t>
      </w:r>
      <w:r>
        <w:rPr>
          <w:rFonts w:eastAsia="Noto Sans KR" w:ascii="Noto Sans KR" w:hAnsi="Noto Sans KR" w:cs="Noto Sans KR"/>
        </w:rPr>
        <w:t xml:space="preserve">DB </w:t>
      </w:r>
      <w:r>
        <w:rPr>
          <w:rFonts w:ascii="Noto Sans KR" w:hAnsi="Noto Sans KR" w:eastAsia="Noto Sans KR" w:cs="Noto Sans KR"/>
        </w:rPr>
        <w:t>결과</w:t>
      </w:r>
      <w:r>
        <w:rPr>
          <w:rFonts w:eastAsia="Noto Sans KR" w:ascii="Noto Sans KR" w:hAnsi="Noto Sans KR" w:cs="Noto Sans KR"/>
        </w:rPr>
        <w:t>/History/Trace/Index/FK/Query→</w:t>
      </w:r>
      <w:r>
        <w:rPr>
          <w:rFonts w:ascii="Noto Sans KR" w:hAnsi="Noto Sans KR" w:eastAsia="Noto Sans KR" w:cs="Noto Sans KR"/>
        </w:rPr>
        <w:t>오류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복구→</w:t>
      </w:r>
      <w:r>
        <w:rPr>
          <w:rFonts w:eastAsia="Noto Sans KR" w:ascii="Noto Sans KR" w:hAnsi="Noto Sans KR" w:cs="Noto Sans KR"/>
        </w:rPr>
        <w:t>Cleanup→</w:t>
      </w:r>
      <w:r>
        <w:rPr>
          <w:rFonts w:ascii="Noto Sans KR" w:hAnsi="Noto Sans KR" w:eastAsia="Noto Sans KR" w:cs="Noto Sans KR"/>
        </w:rPr>
        <w:t>재실행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 xml:space="preserve">멱등성을 </w:t>
      </w:r>
      <w:r>
        <w:rPr>
          <w:rFonts w:eastAsia="Noto Sans KR" w:ascii="Noto Sans KR" w:hAnsi="Noto Sans KR" w:cs="Noto Sans KR"/>
        </w:rPr>
        <w:t>Vendor</w:t>
      </w:r>
      <w:r>
        <w:rPr>
          <w:rFonts w:ascii="Noto Sans KR" w:hAnsi="Noto Sans KR" w:eastAsia="Noto Sans KR" w:cs="Noto Sans KR"/>
        </w:rPr>
        <w:t>별로 기록합니다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미실행 </w:t>
      </w:r>
      <w:r>
        <w:rPr>
          <w:rFonts w:eastAsia="Noto Sans KR" w:ascii="Noto Sans KR" w:hAnsi="Noto Sans KR" w:cs="Noto Sans KR"/>
        </w:rPr>
        <w:t>Vendor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PASS</w:t>
      </w:r>
      <w:r>
        <w:rPr>
          <w:rFonts w:ascii="Noto Sans KR" w:hAnsi="Noto Sans KR" w:eastAsia="Noto Sans KR" w:cs="Noto Sans KR"/>
        </w:rPr>
        <w:t>가 아닙니다</w:t>
      </w:r>
      <w:r>
        <w:rPr>
          <w:rFonts w:eastAsia="Noto Sans KR" w:ascii="Noto Sans KR" w:hAnsi="Noto Sans KR" w:cs="Noto Sans KR"/>
        </w:rPr>
        <w:t>.</w:t>
      </w:r>
    </w:p>
    <w:p>
      <w:pPr>
        <w:pStyle w:val="CPFSource"/>
        <w:spacing w:before="160" w:after="200"/>
        <w:ind w:start="255"/>
        <w:rPr/>
      </w:pPr>
      <w:r>
        <w:rPr>
          <w:rFonts w:eastAsia="Noto Sans KR" w:ascii="Noto Sans KR" w:hAnsi="Noto Sans KR" w:cs="Noto Sans KR"/>
        </w:rPr>
        <w:t>Source: cpf-tools/db · cpf-tools/generator · cpf-docs/governance/CPF_FINAL_TARGET_REQUIREMENTS.md</w:t>
      </w:r>
    </w:p>
    <w:p>
      <w:pPr>
        <w:pStyle w:val="Heading2"/>
        <w:keepNext/>
        <w:pageBreakBefore/>
      </w:pPr>
      <w:r>
        <w:t>Vendor별 완료 Evidence</w:t>
      </w:r>
    </w:p>
    <w:p>
      <w:pPr>
        <w:keepNext/>
      </w:pPr>
      <w:r>
        <w:t>세 Vendor는 문법만 다른 동일 제품 계약입니다. 한 Vendor의 미실행 또는 실패를 다른 Vendor PASS로 대체하지 않습니다.</w:t>
      </w:r>
    </w:p>
    <w:p>
      <w:pPr>
        <w:pStyle w:val="ListBullet"/>
        <w:keepLines/>
      </w:pPr>
      <w:r>
        <w:t>Oracle/PostgreSQL/MariaDB 각각 Fresh Init·Migration/Seed·Upgrade·Rollback/Recovery 결과와 적용 Hash를 보존합니다.</w:t>
      </w:r>
    </w:p>
    <w:p>
      <w:pPr>
        <w:pStyle w:val="ListBullet"/>
      </w:pPr>
      <w:r>
        <w:t>실제 Repository/Mapper Query, Lock/Index/Batch Claim 실행 결과를 Vendor별로 비교합니다.</w:t>
      </w:r>
    </w:p>
    <w:p>
      <w:pPr>
        <w:pStyle w:val="Heading2"/>
      </w:pPr>
      <w:r>
        <w:t>DB3 최종 판정</w:t>
      </w:r>
    </w:p>
    <w:p>
      <w:pPr/>
      <w:r>
        <w:t>세 Vendor는 각각 독립 PASS가 아니라 동일 업무 계약의 세 구현입니다. 한 Vendor의 미실행·Mismatch를 다른 Vendor 결과로 덮지 않습니다.</w:t>
      </w:r>
    </w:p>
    <w:p>
      <w:pPr>
        <w:pStyle w:val="ListBullet"/>
      </w:pPr>
      <w:r>
        <w:t>Fresh Init과 Upgrade를 각각 실행해 동일 Canonical metadata가 새 설치와 기존 설치 양쪽에서 재현되는지 확인합니다.</w:t>
      </w:r>
    </w:p>
    <w:p>
      <w:pPr>
        <w:pStyle w:val="ListBullet"/>
      </w:pPr>
      <w:r>
        <w:t>Rollback이 안전하지 않은 변경은 forward recovery/restore 경로와 데이터 검증 절차를 Evidence로 남기고 억지 역변환 SQL을 만들지 않습니다.</w:t>
      </w:r>
    </w:p>
    <w:p>
      <w:pPr>
        <w:pStyle w:val="ListBullet"/>
      </w:pPr>
      <w:r>
        <w:t>실제 Repository/Mapper Query, Lock/Index/Batch Claim을 실행해 문법 차이보다 중복 방지·소유권·정렬·재시작 의미가 같은지 확인합니다.</w:t>
      </w:r>
    </w:p>
    <w:p>
      <w:pPr>
        <w:pStyle w:val="ListBullet"/>
      </w:pPr>
      <w:r>
        <w:t>Generator/Generated Domain의 datasource·schema·table binding이 Runtime Owner DB와 일치하고 재생성 후 compile/test가 통과해야 완료입니다.</w:t>
      </w:r>
    </w:p>
    <w:p>
      <w:pPr>
        <w:pStyle w:val="CPFSource"/>
      </w:pPr>
      <w:r>
        <w:t>Source: cpf-tools/db · cpf-tools/generator · cpf-docs/governance/CPF_FINAL_TARGET_REQUIREMENTS.md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510" w:right="510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DejaVu Sans Mono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데이터베이스표준서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17" w:before="0" w:after="17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60" w:after="24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5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00" w:after="12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2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2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553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8</Pages>
  <Words>1193</Words>
  <Characters>3539</Characters>
  <CharactersWithSpaces>3974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2026-08-28T01:10:53Z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