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기술표준서</w:t>
      </w:r>
    </w:p>
    <w:p>
      <w:pPr>
        <w:jc w:val="center"/>
      </w:pPr>
      <w:r>
        <w:rPr>
          <w:rFonts w:ascii="Noto Sans CJK KR" w:hAnsi="Noto Sans CJK KR"/>
          <w:sz w:val="24"/>
        </w:rPr>
        <w:t>코딩 · API · Transaction · Security · Test · Operations 표준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개발자, Tech Lead, Reviewer, QA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구현·검토 표준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기본 원칙</w:t>
      </w:r>
    </w:p>
    <w:p>
      <w:pPr>
        <w:pStyle w:val="ListBullet"/>
      </w:pPr>
      <w:r>
        <w:t>Owner first: 기능 코드를 공통 모듈에 임시 적치하지 않는다.</w:t>
      </w:r>
    </w:p>
    <w:p>
      <w:pPr>
        <w:pStyle w:val="ListBullet"/>
      </w:pPr>
      <w:r>
        <w:t>Public API/SPI/Internal 경계를 package/build/publication에서 강제한다.</w:t>
      </w:r>
    </w:p>
    <w:p>
      <w:pPr>
        <w:pStyle w:val="ListBullet"/>
      </w:pPr>
      <w:r>
        <w:t>Controller는 orchestration/domain/persistence를 직접 소유하지 않는다.</w:t>
      </w:r>
    </w:p>
    <w:p>
      <w:pPr>
        <w:pStyle w:val="ListBullet"/>
      </w:pPr>
      <w:r>
        <w:t>Local/Remote에서 업무 계약을 바꾸지 않는다.</w:t>
      </w:r>
    </w:p>
    <w:p>
      <w:pPr>
        <w:pStyle w:val="ListBullet"/>
      </w:pPr>
      <w:r>
        <w:t>실패를 exception 하나로 뭉개지 않고 confirmed failure와 unknown을 구분한다.</w:t>
      </w:r>
    </w:p>
    <w:p>
      <w:pPr>
        <w:pStyle w:val="ListBullet"/>
      </w:pPr>
      <w:r>
        <w:t>운영 위험조치는 Permission/Reason/Approval/Audit를 코드 계약에 포함한다.</w:t>
      </w:r>
    </w:p>
    <w:p>
      <w:pPr>
        <w:pStyle w:val="Heading1"/>
      </w:pPr>
      <w:r>
        <w:t>2. Package/Name 표준</w:t>
      </w:r>
    </w:p>
    <w:p>
      <w:pPr>
        <w:pStyle w:val="CPFCode"/>
        <w:ind w:left="227" w:right="113"/>
        <w:shd w:fill="F5F5F5"/>
      </w:pPr>
      <w:r>
        <w:t>com.&lt;customer&gt;.&lt;domain&gt;.&lt;feature&gt;/</w:t>
      </w:r>
    </w:p>
    <w:p>
      <w:pPr>
        <w:pStyle w:val="CPFCode"/>
        <w:ind w:left="227" w:right="113"/>
        <w:shd w:fill="F5F5F5"/>
      </w:pPr>
      <w:r>
        <w:t xml:space="preserve">  api/</w:t>
      </w:r>
    </w:p>
    <w:p>
      <w:pPr>
        <w:pStyle w:val="CPFCode"/>
        <w:ind w:left="227" w:right="113"/>
        <w:shd w:fill="F5F5F5"/>
      </w:pPr>
      <w:r>
        <w:t xml:space="preserve">  application/</w:t>
      </w:r>
    </w:p>
    <w:p>
      <w:pPr>
        <w:pStyle w:val="CPFCode"/>
        <w:ind w:left="227" w:right="113"/>
        <w:shd w:fill="F5F5F5"/>
      </w:pPr>
      <w:r>
        <w:t xml:space="preserve">  domain/</w:t>
      </w:r>
    </w:p>
    <w:p>
      <w:pPr>
        <w:pStyle w:val="CPFCode"/>
        <w:ind w:left="227" w:right="113"/>
        <w:shd w:fill="F5F5F5"/>
      </w:pPr>
      <w:r>
        <w:t xml:space="preserve">  port/</w:t>
      </w:r>
    </w:p>
    <w:p>
      <w:pPr>
        <w:pStyle w:val="CPFCode"/>
        <w:ind w:left="227" w:right="113"/>
        <w:shd w:fill="F5F5F5"/>
      </w:pPr>
      <w:r>
        <w:t xml:space="preserve">  adapter/{persistence,remote,messaging,file}/</w:t>
      </w:r>
    </w:p>
    <w:p>
      <w:pPr>
        <w:pStyle w:val="CPFCode"/>
        <w:ind w:left="227" w:right="113"/>
        <w:shd w:fill="F5F5F5"/>
      </w:pPr>
      <w:r>
        <w:t xml:space="preserve">  config/</w:t>
      </w:r>
    </w:p>
    <w:p>
      <w:pPr>
        <w:pStyle w:val="CPFCode"/>
        <w:ind w:left="227" w:right="113"/>
        <w:shd w:fill="F5F5F5"/>
      </w:pPr>
      <w:r>
        <w:t xml:space="preserve">  validation/</w:t>
      </w:r>
    </w:p>
    <w:p>
      <w:pPr>
        <w:pStyle w:val="CPFCode"/>
        <w:ind w:left="227" w:right="113"/>
        <w:shd w:fill="F5F5F5"/>
      </w:pPr>
      <w:r>
        <w:t xml:space="preserve">  internal/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피할 이름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대신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CommonUtil/Helper/BaseService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역할이 드러나는 CpfDates/TransferPolicy/PaymentPort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IService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의미의 Facade/Port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XXXImpl 무조건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Provider/역할 이름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Map&lt;String,Object&gt; public DTO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typed record/class</w:t>
            </w:r>
          </w:p>
        </w:tc>
      </w:tr>
    </w:tbl>
    <w:p>
      <w:pPr>
        <w:spacing w:after="40"/>
      </w:pPr>
    </w:p>
    <w:p>
      <w:pPr>
        <w:pStyle w:val="Heading1"/>
      </w:pPr>
      <w:r>
        <w:t>3. API 표준</w:t>
      </w:r>
    </w:p>
    <w:p>
      <w:pPr>
        <w:pStyle w:val="CPFCode"/>
        <w:ind w:left="227" w:right="113"/>
        <w:shd w:fill="F5F5F5"/>
      </w:pPr>
      <w:r>
        <w:t>// GOOD</w:t>
      </w:r>
    </w:p>
    <w:p>
      <w:pPr>
        <w:pStyle w:val="CPFCode"/>
        <w:ind w:left="227" w:right="113"/>
        <w:shd w:fill="F5F5F5"/>
      </w:pPr>
      <w:r>
        <w:t>public interface AccountTransferFacade {</w:t>
      </w:r>
    </w:p>
    <w:p>
      <w:pPr>
        <w:pStyle w:val="CPFCode"/>
        <w:ind w:left="227" w:right="113"/>
        <w:shd w:fill="F5F5F5"/>
      </w:pPr>
      <w:r>
        <w:t xml:space="preserve">    TransferResult transfer(TransferRequest request);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// BAD: transport/framework detail와 느슨한 Map을 공개</w:t>
      </w:r>
    </w:p>
    <w:p>
      <w:pPr>
        <w:pStyle w:val="CPFCode"/>
        <w:ind w:left="227" w:right="113"/>
        <w:shd w:fill="F5F5F5"/>
      </w:pPr>
      <w:r>
        <w:t>public Map&lt;String,Object&gt; doTransfer(HttpServletRequest request);</w:t>
      </w:r>
    </w:p>
    <w:p>
      <w:pPr>
        <w:spacing w:after="20"/>
      </w:pPr>
    </w:p>
    <w:p>
      <w:pPr>
        <w:pStyle w:val="Heading1"/>
      </w:pPr>
      <w:r>
        <w:t>4. Transaction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Do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Do not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일관성 요구에 따라 LOCAL/XA/OUTBOX/SAGA/TCC 선택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모든 문제를 @Transactional 하나로 해결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외부 response loss를 UNKNOWN으로 보존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timeout이면 무조건 retry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same txId + attempt increment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retry마다 transactionId 재발급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durable compensation/reconcile state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메모리 callback만으로 분산 복구</w:t>
            </w:r>
          </w:p>
        </w:tc>
      </w:tr>
    </w:tbl>
    <w:p>
      <w:pPr>
        <w:spacing w:after="40"/>
      </w:pPr>
    </w:p>
    <w:p>
      <w:pPr>
        <w:pStyle w:val="Heading1"/>
      </w:pPr>
      <w:r>
        <w:t>5. SQL/Persistence 표준</w:t>
      </w:r>
    </w:p>
    <w:p>
      <w:pPr>
        <w:pStyle w:val="ListBullet"/>
      </w:pPr>
      <w:r>
        <w:t>Table Owner 1개, cross-domain direct SQL 금지</w:t>
      </w:r>
    </w:p>
    <w:p>
      <w:pPr>
        <w:pStyle w:val="ListBullet"/>
      </w:pPr>
      <w:r>
        <w:t>SQL identifier는 allowlist, value는 binding</w:t>
      </w:r>
    </w:p>
    <w:p>
      <w:pPr>
        <w:pStyle w:val="ListBullet"/>
      </w:pPr>
      <w:r>
        <w:t>stable sort + index plan + bounded paging</w:t>
      </w:r>
    </w:p>
    <w:p>
      <w:pPr>
        <w:pStyle w:val="ListBullet"/>
      </w:pPr>
      <w:r>
        <w:t>optimistic version 또는 명시적 lock/fence</w:t>
      </w:r>
    </w:p>
    <w:p>
      <w:pPr>
        <w:pStyle w:val="ListBullet"/>
      </w:pPr>
      <w:r>
        <w:t>Migration에 data transform/lock/time/rollback/vendor 영향</w:t>
      </w:r>
    </w:p>
    <w:p>
      <w:pPr>
        <w:pStyle w:val="ListBullet"/>
      </w:pPr>
      <w:r>
        <w:t>PII/retention classification</w:t>
      </w:r>
    </w:p>
    <w:p>
      <w:pPr>
        <w:pStyle w:val="Heading1"/>
      </w:pPr>
      <w:r>
        <w:t>6. Error 표준</w:t>
      </w:r>
    </w:p>
    <w:p>
      <w:pPr>
        <w:pStyle w:val="CPFCode"/>
        <w:ind w:left="227" w:right="113"/>
        <w:shd w:fill="F5F5F5"/>
      </w:pPr>
      <w:r>
        <w:t>{</w:t>
      </w:r>
    </w:p>
    <w:p>
      <w:pPr>
        <w:pStyle w:val="CPFCode"/>
        <w:ind w:left="227" w:right="113"/>
        <w:shd w:fill="F5F5F5"/>
      </w:pPr>
      <w:r>
        <w:t xml:space="preserve">  "code": "PAY-TRANSFER-40901",</w:t>
      </w:r>
    </w:p>
    <w:p>
      <w:pPr>
        <w:pStyle w:val="CPFCode"/>
        <w:ind w:left="227" w:right="113"/>
        <w:shd w:fill="F5F5F5"/>
      </w:pPr>
      <w:r>
        <w:t xml:space="preserve">  "message": "업무 상태가 변경되어 요청을 적용할 수 없습니다.",</w:t>
      </w:r>
    </w:p>
    <w:p>
      <w:pPr>
        <w:pStyle w:val="CPFCode"/>
        <w:ind w:left="227" w:right="113"/>
        <w:shd w:fill="F5F5F5"/>
      </w:pPr>
      <w:r>
        <w:t xml:space="preserve">  "retryable": false,</w:t>
      </w:r>
    </w:p>
    <w:p>
      <w:pPr>
        <w:pStyle w:val="CPFCode"/>
        <w:ind w:left="227" w:right="113"/>
        <w:shd w:fill="F5F5F5"/>
      </w:pPr>
      <w:r>
        <w:t xml:space="preserve">  "unknownResult": false,</w:t>
      </w:r>
    </w:p>
    <w:p>
      <w:pPr>
        <w:pStyle w:val="CPFCode"/>
        <w:ind w:left="227" w:right="113"/>
        <w:shd w:fill="F5F5F5"/>
      </w:pPr>
      <w:r>
        <w:t xml:space="preserve">  "transactionId": "...",</w:t>
      </w:r>
    </w:p>
    <w:p>
      <w:pPr>
        <w:pStyle w:val="CPFCode"/>
        <w:ind w:left="227" w:right="113"/>
        <w:shd w:fill="F5F5F5"/>
      </w:pPr>
      <w:r>
        <w:t xml:space="preserve">  "details": [{"field":"amount","reason":"RANGE"}]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7. Logging/Audit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Log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Audit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기술/업무 상태, elapsed/result/error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관리자/권한/승인/재처리/download/raw access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masked payload only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before-after masked snapshot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bounded cardinality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immutable/tamper-evident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transaction/trace/segment/attempt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actor/reason/approval/result/transactionId</w:t>
            </w:r>
          </w:p>
        </w:tc>
      </w:tr>
    </w:tbl>
    <w:p>
      <w:pPr>
        <w:spacing w:after="40"/>
      </w:pPr>
    </w:p>
    <w:p>
      <w:pPr>
        <w:pStyle w:val="Heading1"/>
      </w:pPr>
      <w:r>
        <w:t>8. Security 표준</w:t>
      </w:r>
    </w:p>
    <w:p>
      <w:pPr>
        <w:pStyle w:val="ListBullet"/>
      </w:pPr>
      <w:r>
        <w:t>input allowlist + binding; output encoding</w:t>
      </w:r>
    </w:p>
    <w:p>
      <w:pPr>
        <w:pStyle w:val="ListBullet"/>
      </w:pPr>
      <w:r>
        <w:t>SSRF allowlist/canonicalization; path traversal/symlink/archive bomb 차단</w:t>
      </w:r>
    </w:p>
    <w:p>
      <w:pPr>
        <w:pStyle w:val="ListBullet"/>
      </w:pPr>
      <w:r>
        <w:t>CSRF/CSP/secure cookie; credential browser 노출 금지</w:t>
      </w:r>
    </w:p>
    <w:p>
      <w:pPr>
        <w:pStyle w:val="ListBullet"/>
      </w:pPr>
      <w:r>
        <w:t>Secret Source/YAML/Log 금지; provider reference 사용</w:t>
      </w:r>
    </w:p>
    <w:p>
      <w:pPr>
        <w:pStyle w:val="ListBullet"/>
      </w:pPr>
      <w:r>
        <w:t>raw PII/Token/Private Key의 audit/evidence 포함 금지</w:t>
      </w:r>
    </w:p>
    <w:p>
      <w:pPr>
        <w:pStyle w:val="ListBullet"/>
      </w:pPr>
      <w:r>
        <w:t>401(authentication)와 403(authorization)을 구분</w:t>
      </w:r>
    </w:p>
    <w:p>
      <w:pPr>
        <w:pStyle w:val="ListBullet"/>
      </w:pPr>
      <w:r>
        <w:t>break-glass는 TTL/reason/post review</w:t>
      </w:r>
    </w:p>
    <w:p>
      <w:pPr>
        <w:pStyle w:val="Heading1"/>
      </w:pPr>
      <w:r>
        <w:t>9. Resilience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Pattern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Required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connect/response/overall/deadline 분리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bounded count/backoff/jitter/idempotency/replay safety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Circuit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open/half-open metric + operator visibility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Bulkhead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thread/connection/concurrency cap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global/domain/target + distributed requirement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Backpressure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bounded queue + reject/throttle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query/reconcile</w:t>
            </w:r>
          </w:p>
        </w:tc>
      </w:tr>
    </w:tbl>
    <w:p>
      <w:pPr>
        <w:spacing w:after="40"/>
      </w:pPr>
    </w:p>
    <w:p>
      <w:pPr>
        <w:pStyle w:val="Heading1"/>
      </w:pPr>
      <w:r>
        <w:t>10. Test 표준</w:t>
      </w:r>
    </w:p>
    <w:p>
      <w:pPr>
        <w:pStyle w:val="Heading2"/>
      </w:pPr>
      <w:r>
        <w:t>Unit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Contract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Repository/Migration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Fault Injection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Concurrency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Process Kill/Restart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Multi-instance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Security Negative Corpus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Browser E2E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</w:pPr>
      <w:r>
        <w:t>Backup/Restore/Upgrade/Rollback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1"/>
      </w:pPr>
      <w:r>
        <w:t>11. Code Review Checklist</w:t>
      </w:r>
    </w:p>
    <w:p>
      <w:pPr>
        <w:pStyle w:val="ListBullet"/>
      </w:pPr>
      <w:r>
        <w:t>Owner/Consumer/Public boundary</w:t>
      </w:r>
    </w:p>
    <w:p>
      <w:pPr>
        <w:pStyle w:val="ListBullet"/>
      </w:pPr>
      <w:r>
        <w:t>Actual config default/fail-fast</w:t>
      </w:r>
    </w:p>
    <w:p>
      <w:pPr>
        <w:pStyle w:val="ListBullet"/>
      </w:pPr>
      <w:r>
        <w:t>Transaction/unknown/idempotency/concurrency</w:t>
      </w:r>
    </w:p>
    <w:p>
      <w:pPr>
        <w:pStyle w:val="ListBullet"/>
      </w:pPr>
      <w:r>
        <w:t>SQL/index/migration/rollback</w:t>
      </w:r>
    </w:p>
    <w:p>
      <w:pPr>
        <w:pStyle w:val="ListBullet"/>
      </w:pPr>
      <w:r>
        <w:t>Secret/PII/masking/authorization</w:t>
      </w:r>
    </w:p>
    <w:p>
      <w:pPr>
        <w:pStyle w:val="ListBullet"/>
      </w:pPr>
      <w:r>
        <w:t>Log/metric/trace/audit</w:t>
      </w:r>
    </w:p>
    <w:p>
      <w:pPr>
        <w:pStyle w:val="ListBullet"/>
      </w:pPr>
      <w:r>
        <w:t>Fault/recovery test</w:t>
      </w:r>
    </w:p>
    <w:p>
      <w:pPr>
        <w:pStyle w:val="ListBullet"/>
      </w:pPr>
      <w:r>
        <w:t>OpenAPI/JavaDoc/generated client</w:t>
      </w:r>
    </w:p>
    <w:p>
      <w:pPr>
        <w:pStyle w:val="ListBullet"/>
      </w:pPr>
      <w:r>
        <w:t>Operations/ADM/runbook</w:t>
      </w:r>
    </w:p>
    <w:p>
      <w:pPr>
        <w:pStyle w:val="ListBullet"/>
      </w:pPr>
      <w:r>
        <w:t>Dead code/stale alias/temporary artifact</w:t>
      </w: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Developer Guide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cpf-docs/development/DEVELOPER_GUIDE.md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development policy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Request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cpf-docs/work/CPF_CURRENT_WORK_REQUEST.md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new transaction/starter/security requirements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Final Target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permanent completion/prohibition conditions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12. Good / Bad 구현 패턴</w:t>
      </w:r>
    </w:p>
    <w:p>
      <w:r>
        <w:br w:type="page"/>
      </w:r>
    </w:p>
    <w:p>
      <w:pPr>
        <w:pStyle w:val="Heading2"/>
      </w:pPr>
      <w:r>
        <w:t>12.1 Remote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 stage + idempotency + bounded retry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catch(Exception){ retry(); }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12.2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key+scope+requestHash conflict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key 존재만 보고 이전 결과 반환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12.3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외부 call과 local commit 결과 분리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 success가 local rollback으로 취소된다고 가정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12.4 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lease+fencing token every protected write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DB row에 owner 문자열만 저장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12.5 Paging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allowlisted sort token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 sort field SQL 직접 연결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12.6 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bounded stream+temp+checksum+atomic move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readAllBytes 후 final 직접 write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12.7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provider ref/keyId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application.yml 원문 secret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12.8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canonical/hash chain/actor/reason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일반 log를 감사로그로 간주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12.9 Admin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expectedVersion+idem+reason+approval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UI 버튼 disable만 권한으로 간주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12.10 Unknown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durable state+result query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timeout=FAILED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12.11 Batch restart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Spring Batch metadata+checkpoint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처음부터 무조건 재실행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12.12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business TX와 insert atomic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commit 후 best-effort publish만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12.13 Frontend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generated client + typed error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feature마다 raw fetch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12.14 Download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permission/reason/limit/expiry/audit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직접 CSV endpoint 무제한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</w:pPr>
      <w:r>
        <w:t>12.15 DB migration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BAD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new immutable version + vendor 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과거 migration 수정</w:t>
            </w:r>
          </w:p>
        </w:tc>
      </w:tr>
    </w:tbl>
    <w:p/>
    <w:p>
      <w:pPr>
        <w:pStyle w:val="Heading3"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pPr>
        <w:pStyle w:val="Heading1"/>
      </w:pPr>
      <w:r>
        <w:t>13. 기술 표준 상세 검토 매트릭스</w:t>
      </w:r>
    </w:p>
    <w:p>
      <w:r>
        <w:t>이 절은 코드 리뷰와 설계 검토에서 기능별 규칙이 빠지지 않도록 사용하는 세부 판정표다. 각 항목은 최신 Public Contract, 실제 Consumer, 실패·복구 경로와 Test 근거를 함께 확인한다. 체크 표시만으로 판정하지 않고 Source·실행 결과·운영 조회 근거를 연결한다.</w:t>
      </w:r>
    </w:p>
    <w:p>
      <w:pPr>
        <w:pStyle w:val="Heading2"/>
      </w:pPr>
      <w:r>
        <w:t>13.1 Architecture·API·Data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sz w:val="14"/>
              </w:rPr>
              <w:t>ID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4"/>
              </w:rPr>
              <w:t>표준 항목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b/>
                <w:sz w:val="14"/>
              </w:rPr>
              <w:t>필수 규칙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b/>
                <w:sz w:val="14"/>
              </w:rPr>
              <w:t>검증·판정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Module Ownership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기술 공통·고객 공통·업무·ADM/BZA·Batch·Gateway Owner를 먼저 확정하고 역방향 의존과 타 Owner DB 직접 접근을 금지한다.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build graph와 ArchUnit, 실제 Consumer import를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Public API / SPI / Internal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Public API와 SPI에는 호환성·오류·lifecycle 계약을 두고 Internal package는 외부 소비를 차단한다.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published artifact 소비 Test와 package rule이 통과해야 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Starter 선택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Capability Profile이 해석한 Leaf Starter와 버전을 Manifest/Lock에 고정하고 선택하지 않은 Provider 의존을 유입하지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clean classpath와 profile resolution 결과를 비교한다.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설정 우선순위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 default → customer property → profile → 운영 override → per-call override 순서를 지키고 범위를 넘는 값은 거부한다.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startup fail-fast와 runtime override audit를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DTO 경계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API DTO, Domain model, Persistence model을 분리하고 선택 OSS type을 Public Contract에 노출하지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API signature와 dependency graph를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형식·범위·상호조건·권한·업무상태 검증을 분리하고 크기·개수·깊이 상한을 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negative corpus에서 표준 오류 위치와 code를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Paging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0-base page/size 범위와 안정 정렬을 보장하고 offset overflow, cursor 위변조·만료·version을 검증한다.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중복·누락 0건과 max-size 거부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SQL Parameter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값은 binding하고 table/column/order 같은 identifier는 승인 allowlist에서만 해석한다.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injection corpus와 query plan을 검토한다.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STD-A09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DB Ownership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Table·Migration·Runtime Query의 Owner를 단일화하고 Oracle/PostgreSQL/MariaDB 의미를 맞춘다.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fresh install과 schema manifest를 Vendor별로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Migration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적용된 migration은 수정하지 않고 새 version으로 변경하며 drift는 실패로 분류한다.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install→upgrade→rollback/forward recovery 결과를 비교한다.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Generator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중앙 template·schema metadata를 정본으로 사용하고 생성 영역 checksum과 사용자 영역 경계를 보존한다.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create→build/test→remove→regenerate normalized parity를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OpenAPI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operationId, DTO field, 권한, 오류, idempotency와 transactionId 설명을 Runtime Contract와 일치시킨다.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generated client drift gate와 server route를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JavaDoc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Public API/SPI와 복구·동시성·보안 중요 로직에 입력·상태·오류·복구·thread-safety를 기술한다.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javadoc publication과 누락 gate를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Frontend API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승인된 generated client/API boundary를 사용하고 feature별 raw fetch를 만들지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route별 expected operationId와 client symbol을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STD-A15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다운로드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권한·사유·승인·row/size limit·만료·masking·감사를 적용하고 민감 원문 노출을 제한한다.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server authorization과 download audit를 확인한다.</w:t>
            </w:r>
          </w:p>
        </w:tc>
      </w:tr>
    </w:tbl>
    <w:p>
      <w:pPr>
        <w:pStyle w:val="Heading2"/>
      </w:pPr>
      <w:r>
        <w:t>13.2 Transaction·Messaging·Recovery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sz w:val="14"/>
              </w:rPr>
              <w:t>ID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4"/>
              </w:rPr>
              <w:t>표준 항목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b/>
                <w:sz w:val="14"/>
              </w:rPr>
              <w:t>필수 규칙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b/>
                <w:sz w:val="14"/>
              </w:rPr>
              <w:t>검증·판정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LOCAL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단일 Resource 변경은 명시된 local transaction boundary에서 commit/rollback하고 외부 side effect를 긴 DB transaction에 묶지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commit 전·후 fault injection과 rollback 결과를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XA/JTA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강한 원자성이 필요한 DB+DB 또는 DB+JMS에서만 선택하고 Provider-neutral contract와 XA resource enlistment를 유지한다.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prepare/commit/rollback 및 timeout 결과를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XA Recovery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prepare 완료 뒤 process kill 시 recovery log와 startup scan으로 in-doubt를 판정하며 중복 recovery writer를 fencing한다.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kill→restart→scan→최종 판정 Harness를 실행한다.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Outbox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업무 변경과 Outbox INSERT를 동일 local transaction으로 묶고 stable eventId와 claim lease/fencing을 사용한다.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ACK loss·publisher kill 뒤 duplicate business effect 0건을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Inbox/Dedup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message ID와 consumer identity 기준으로 concurrent duplicate를 한 번만 처리하며 processing/replay/retention 상태를 남긴다.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consumer kill/restart와 동시 duplicate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Saga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장기 A→B→C 흐름은 단계 상태와 역순 compensation을 기록하고 compensation 실패를 별도 retry/UNKNOWN으로 남긴다.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 실패·보상 실패·process kill 시나리오를 검증한다.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TCC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Try/Confirm/Cancel을 각각 멱등하게 만들고 empty rollback·hanging·duplicate confirm/cancel을 구분한다.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timeout/kill/recovery와 manual review 전환을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Idempotency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canonical request hash·scope·TTL·terminal result replay를 사용하고 같은 key의 다른 payload는 conflict로 거부한다.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동시 요청 race와 hash mismatch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STD-T09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Lock/Lease/Fencing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owner·request·epoch·version·lease와 단조 증가 fencing token을 함께 검증하여 stale writer를 차단한다.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lease 만료·takeover·늦은 write Test를 실행한다.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Deadline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전체 deadline budget을 하위 DB/HTTP/Broker/File 호출에 배분하고 남은 시간을 넘는 새 시도를 시작하지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timeout budget 소진과 cancel/cleanup 상태를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Retry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멱등 또는 결과 조회가 가능한 operation에만 제한된 retry를 적용하고 backoff/jitter와 storm 방지를 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retry count cap과 dependency outage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UNKNOWN_RESULT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외부 side effect 가능 상태에서 응답이 유실되면 성공·실패로 단정하지 않고 operation/상대 상태를 조회한 뒤 reconcile한다.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response loss 후 상태 조회·대사·수동 확정 경로를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Message Envelope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messageId, transactionId, schema version, key/partition, TTL, producer/environment binding과 size 제한을 유지한다.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producer/consumer compatibility와 malformed message 거부를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DLQ Replay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원인 수정·대상 범위·순서·idempotency·승인 후 replay하고 원 거래와 새 attempt를 연결한다.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poison 격리와 부분 replay 결과를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STD-T15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Batch Restart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Spring Batch metadata/checkpoint를 기준으로 restart하고 CPF execution/lease/fencing/UNKNOWN 원장과 ID를 연결한다.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process kill 이후 checkpoint 재개와 duplicate item 0건을 확인한다.</w:t>
            </w:r>
          </w:p>
        </w:tc>
      </w:tr>
    </w:tbl>
    <w:p>
      <w:pPr>
        <w:pStyle w:val="Heading2"/>
      </w:pPr>
      <w:r>
        <w:t>13.3 Security·Audit·Operations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sz w:val="14"/>
              </w:rPr>
              <w:t>ID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4"/>
              </w:rPr>
              <w:t>표준 항목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b/>
                <w:sz w:val="14"/>
              </w:rPr>
              <w:t>필수 규칙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b/>
                <w:sz w:val="14"/>
              </w:rPr>
              <w:t>검증·판정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OAuth2/JWT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issuer·audience·expiry·scope/role mapping을 검증하고 current principal/tenant 접근은 공통 Security Context를 사용한다.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401/403, 만료·잘못된 audience·claim mapping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OIDC SSO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외부 IdP login/logout/session/token 만료·갱신과 user/tenant/group mapping을 BFF/session 경계와 연결한다.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IdP 장애·logout·session revoke 흐름을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Session/BFF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Browser storage·URL·DOM·console에 access/refresh token과 session ID 원문을 남기지 않고 fixation·rotation·concurrency를 통제한다.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credential leak scan과 강제 logout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Secret Provider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Secret 원문을 Source/YAML/Log/ADM/Evidence에 기록하지 않고 provider health·rotation·revocation·timeout을 다룬다.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provider failure와 rotation 이후 consumer 재연결을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KMS/HSM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keyId/keyVersion으로 외부 KMS/HSM 또는 PKCS#11 provider를 선택하고 private key 원문을 애플리케이션에 노출하지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sign/verify·provider timeout·revocation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Digital Signature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algorithm, keyId/version, certificate, signature metadata를 함께 기록하고 잘못된 signature·만료·revocation을 거부한다.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negative signature corpus와 audit를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PII Masking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field classification과 context-aware masking을 응답·로그·다운로드·Evidence에 적용하고 raw 조회는 별도 권한·사유·승인을 요구한다.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PII/credential leak scan을 실행한다.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Tamper-evident Audit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canonical payload와 previousHash/currentHash chain을 append-only로 기록하고 선택적 signature로 무결성을 검증한다.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수정·삭제·순서 변경 탐지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STD-S09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Admin Command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위험 조치는 requester/approver 분리, reason, expected version, immutable command hash, expiry와 audit를 요구한다.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자기승인·stale version·만료 승인 거부를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Break-glass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별도 권한·TTL·긴급 사유·사용 범위·사후 Review를 남기고 일반 권한 경로와 구분한다.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세션 만료와 review closure audit를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Observability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transactionId·trace/span·segment·attempt·instance/job/execution을 구조화하고 cardinality와 masking을 제한한다.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로그·Metric·Trace에서 동일 거래 계보를 대조한다.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ADM Timeline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transactionId 하나로 Local/Remote/Event/Batch/Gateway/File 구간을 연결하며 query 실패는 partial/query-failed로 구분한다.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source별 누락·지연·조회 실패 표시를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Runtime Config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변경 전 preview와 target/version을 확정하고 부분 적용·응답 유실은 operation 상태를 조회해 reconcile한다.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expected version conflict와 selective rollback을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Artifact Trust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release artifact의 manifest·SHA-256·signature·build SHA·환경 binding을 검증하고 불일치 artifact를 활성화하지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tamper·wrong environment·wrong version 거부 Test를 확인한다.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STD-S15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Evidence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실행 명령, exact source SHA, 환경/topology, 시작·종료, exit code, 결과와 artifact hash를 남기고 실행하지 않은 Test를 성공으로 기록하지 않는다.</w:t>
            </w:r>
          </w:p>
        </w:tc>
        <w:tc>
          <w:tcPr>
            <w:tcW w:type="dxa" w:w="3458"/>
          </w:tcPr>
          <w:p>
            <w:pPr>
              <w:spacing w:after="0"/>
            </w:pPr>
            <w:r>
              <w:rPr>
                <w:sz w:val="14"/>
              </w:rPr>
              <w:t>Evidence가 현재 Commit과 입력 artifact를 가리키는지 역추적한다.</w:t>
            </w:r>
          </w:p>
        </w:tc>
      </w:tr>
    </w:tbl>
    <w:p>
      <w:pPr>
        <w:pStyle w:val="Heading2"/>
      </w:pPr>
      <w:r>
        <w:t>13.4 판정 기록 원칙</w:t>
      </w:r>
    </w:p>
    <w:p>
      <w:pPr>
        <w:pStyle w:val="ListBullet"/>
      </w:pPr>
      <w:r>
        <w:t>검토자는 해당 항목의 Requirement ID 또는 변경 요청과 Source Path, 실제 Consumer, Test/Harness, 운영 확인 위치를 같은 Review Record에 연결한다.</w:t>
      </w:r>
    </w:p>
    <w:p>
      <w:pPr>
        <w:pStyle w:val="ListBullet"/>
      </w:pPr>
      <w:r>
        <w:t>문서량 증가만으로 품질을 판정하지 않는다. 다만 기존 정본보다 설명·판정 단위가 줄어드는 변경은 삭제·통합 근거와 대체 위치가 명확하지 않으면 재검토한다.</w:t>
      </w:r>
    </w:p>
    <w:p>
      <w:pPr>
        <w:pStyle w:val="ListBullet"/>
      </w:pPr>
      <w:r>
        <w:t>규칙을 통합해 행 수가 줄어드는 경우에도 삭제된 규칙의 의미가 새 Owner 절에 남아 있는지 양방향으로 확인한다.</w:t>
      </w:r>
    </w:p>
    <w:p>
      <w:pPr>
        <w:pStyle w:val="Heading2"/>
      </w:pPr>
      <w:r>
        <w:t>13.5 Review Record 필수 필드</w:t>
      </w:r>
    </w:p>
    <w:p>
      <w:r>
        <w:t>표준 위반 여부를 판정할 때 아래 필드를 같은 Review Record에 남긴다.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0"/>
            </w:pPr>
            <w:r>
              <w:rPr>
                <w:b/>
                <w:sz w:val="14"/>
              </w:rPr>
              <w:t>필드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b/>
                <w:sz w:val="14"/>
              </w:rPr>
              <w:t>기록 내용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b/>
                <w:sz w:val="14"/>
              </w:rPr>
              <w:t>판정 기준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Requirement / Change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Requirement ID, 변경 목적, 적용 범위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검토 대상이 무엇인지 단일하게 식별된다.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Source / Consumer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exact SHA, Source Path, Symbol, 실제 Consumer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정본 Source와 실제 호출 경로가 연결된다.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Contract / State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입력·출력·상태·오류·idempotency·timeout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정상과 오류·결과 불명 경계가 구분된다.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Failure / Recovery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fault 지점, retry/restart/reconcile/compensation/rollback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실패 후 정상화 방법과 종료 판정이 기록된다.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Security / Audit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권한, masking, reason, approval, audit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위험행위와 민감정보 경계가 server에서 확인된다.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Test / Operations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Test/Harness 명령, 결과, ADM/Log/Metric/Trace 확인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실행 근거와 운영 확인 위치가 현재 Source에 연결된다.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Judgement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완료/부분 구현/미구현/미검증/실패/재확인 필요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4"/>
              </w:rPr>
              <w:t>판정 근거와 남은 검증 범위가 분리된다.</w:t>
            </w:r>
          </w:p>
        </w:tc>
      </w:tr>
    </w:tbl>
    <w:p>
      <w:pPr>
        <w:pStyle w:val="Heading1"/>
      </w:pPr>
      <w:r>
        <w:t>14. 현행 Source 기반 규칙 보강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sz w:val="13"/>
              </w:rPr>
              <w:t>Rule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b/>
                <w:sz w:val="13"/>
              </w:rPr>
              <w:t>표준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/>
                <w:sz w:val="13"/>
              </w:rPr>
              <w:t>Current Source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TX-API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CpfTransactionOperations를 업무 transaction 진입점으로 사용하고 Provider API 직접 결합을 제한한다.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TX-DEFAULT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LOCAL 기본 정의는 JTA Provider 없이 생성·실행 가능해야 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CpfTransactionDefinition.localDefault()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PERSIST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공통 CRUD/Search는 선택적으로 Public Port를 사용하고 복잡 업무 Query는 Domain Port/native escape hatch로 분리한다.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CpfCrudRepositoryPort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PERSIST-GUARD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sort/filter/page/bulk 상한은 CpfPersistencePolicy를 공통 경계로 사용한다.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CpfPersistencePolicy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JPA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JPA convenience API는 timeout·exception translation·transactionId observation·audit hook을 함께 적용한다.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CpfJpaOperations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AI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AI 요청은 transactionId/model/prompt/risk/timeout/humanApproved를 포함하고 Provider routing은 Starter가 담당한다.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CpfAiRequest/CpfAiOperations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OIDC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claim name과 role/scope prefix를 typed property로 관리하고 safeClaimNames 외 원문 claim 노출을 제한한다.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CpfOidcProperties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SIGN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signature API는 transactionId/keyId/algorithm/canonical payload를 명시한다.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CpfDigitalSignatureOperations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TAMPER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감사 무결성은 append/hash-chain store contract로 분리하고 JDBC Provider는 그 계약을 구현한다.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CpfTamperAuditStore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sz w:val="13"/>
              </w:rPr>
              <w:t>SOAP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3"/>
              </w:rPr>
              <w:t>SOAP 공통 설정은 connect/read timeout을 제공하고 endpoint/action 의미는 호출 Consumer가 명시한다.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3"/>
              </w:rPr>
              <w:t>CpfSoapProperties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SEC-CONTEXT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Resource Server 업무 코드는 raw claim 접근보다 typed Security Context를 우선하고 issuer/audience/expiry와 role/scope mapping 경계를 유지한다.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CpfSecurityContext / CpfResourceServerProperties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XA-RECOVERY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XA prepare 이후 in-doubt 복구는 startup recovery scan과 recovery resource 등록을 통해 수행하고 중복 recovery를 식별 가능하게 남긴다.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CpfNarayanaRecoveryRegistrar / CpfXaRecoveryResourceProvider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XA-DATASOURCE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XA Resource 조립은 Vendor XADataSource factory 경계를 사용하고 일반 LOCAL DataSource와 선택 경로를 분리한다.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CpfXaDataSourceFactory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TCC-PARTICIPANT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TCC Try/Confirm/Cancel은 participant 계약으로 분리하고 각 phase의 멱등성·empty rollback·hanging 처리를 업무 Consumer가 명시한다.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CpfTccParticipant / CpfTccPhase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TCC-RECOVERY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TCC timeout/process-loss 후에는 recovery operation으로 상태를 조회·대사하고 UNKNOWN을 성공/실패로 임의 확정하지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CpfTccRecoveryOperations / CpfTccResult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INBOX-DEDUP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메시지 수신 side effect 전 Inbox/Dedup 원장을 사용하고 concurrent duplicate와 replay에서 업무 부작용 중복을 차단한다.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CpfBrokerInboxPort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SAGA-UNKNOWN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Saga compensation 자체의 결과 불명은 별도 UNKNOWN 상태와 예외로 보존하고 manual recovery/reconcile 흐름과 연결한다.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CpfSagaStatus / CpfSagaUnknownOutcomeException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CONFIG-CATALOG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Property는 typed descriptor/catalog에 등록해 mutability, restart requirement, secret separation을 Consumer와 운영자가 동일 계약으로 해석한다.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CpfConfigCatalog / CpfConfigDescriptor / CpfConfigPolicy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SORT-POLICY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정렬 field와 column 수는 공통 allowlist 정책으로 검증하고 요청 문자열을 SQL/JPQL 정렬식에 직접 결합하지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CpfSortPolicy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LOCK-REPOSITORY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영속 조회의 lock mode는 typed contract로 전달하고 업무 상태/동시성 정책 없이 Provider lock hint를 임의 사용하지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CpfLockingRepositoryPort / CpfLockMode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BULK-BOUND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Bulk create/update/delete는 최대 건수와 flush 경계를 제한하고 무제한 Collection 전체 적재를 기본 경로로 사용하지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CpfBulkRepositoryPort / CpfPersistencePolicy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AUDIT-JDBC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Tamper-evident audit의 append/head/hash-chain 영속화는 Audit Store 계약과 JDBC Adapter를 분리하고 일반 application log로 대체하지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CpfTamperAuditStore / JdbcCpfTamperAuditStore</w:t>
            </w:r>
          </w:p>
        </w:tc>
      </w:tr>
      <w:tr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KEY-MGMT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Key 조회·rotation·revocation·health는 Key Management 계약으로 수행하고 Private Key 원문을 Consumer/로그/운영 응답에 반환하지 않는다.</w:t>
            </w:r>
          </w:p>
        </w:tc>
        <w:tc>
          <w:tcPr>
            <w:tcW w:type="dxa" w:w="3289"/>
          </w:tcPr>
          <w:p>
            <w:pPr>
              <w:spacing w:before="0" w:after="0" w:line="240" w:lineRule="auto"/>
            </w:pPr>
            <w:r>
              <w:rPr>
                <w:sz w:val="14"/>
              </w:rPr>
              <w:t>CpfKeyManagementOperations / CpfKeyLifecycleProvider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기술표준서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