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기술표준서</w:t>
      </w:r>
    </w:p>
    <w:p>
      <w:pPr>
        <w:pStyle w:val="Subtitle"/>
      </w:pPr>
      <w:r>
        <w:t>CPF 개발·보안·패키지·검증의 MUST/MUST NOT</w:t>
      </w:r>
    </w:p>
    <w:p>
      <w:pPr>
        <w:spacing w:before="24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누가 보는가</w:t>
            </w:r>
          </w:p>
        </w:tc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전체 개발자·리뷰어</w:t>
            </w:r>
          </w:p>
        </w:tc>
      </w:tr>
      <w:tr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이 문서로 끝낼 일</w:t>
            </w:r>
          </w:p>
        </w:tc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코드 리뷰에서 허용/금지 경계를 빠르게 판정한다</w:t>
            </w:r>
          </w:p>
        </w:tc>
      </w:tr>
      <w:tr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Harness 2.2.0 · Source 054d894b47f4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Owner와 Public/Internal 경계를 지킵니다.</w:t>
      </w:r>
    </w:p>
    <w:p>
      <w:pPr>
        <w:pStyle w:val="ListBullet"/>
        <w:spacing w:after="60"/>
        <w:ind w:left="283"/>
      </w:pPr>
      <w:r>
        <w:t>UNKNOWN·Security·Secret 규칙을 지킵니다.</w:t>
      </w:r>
    </w:p>
    <w:p>
      <w:pPr>
        <w:pStyle w:val="ListBullet"/>
        <w:spacing w:after="60"/>
        <w:ind w:left="283"/>
      </w:pPr>
      <w:r>
        <w:t>FAST/TARGETED/FULL 검증을 단계적으로 수행합니다.</w:t>
      </w:r>
    </w:p>
    <w:p>
      <w:r>
        <w:br w:type="page"/>
      </w:r>
    </w:p>
    <w:p>
      <w:pPr>
        <w:pStyle w:val="Heading1"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247"/>
            <w:shd w:fill="17324D"/>
          </w:tcPr>
          <w:p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087"/>
            <w:shd w:fill="17324D"/>
          </w:tcPr>
          <w:p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1020"/>
            <w:shd w:fill="17324D"/>
          </w:tcPr>
          <w:p>
            <w:r>
              <w:rPr>
                <w:b/>
                <w:color w:val="FFFFFF"/>
                <w:sz w:val="17"/>
              </w:rPr>
              <w:t>쪽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1 개발자가 반드시 지킬 경계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2 패키지와 Generated Domain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3 API와 Error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4 보안과 운영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5 검증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</w:tbl>
    <w:p>
      <w:r>
        <w:br w:type="page"/>
      </w:r>
    </w:p>
    <w:p>
      <w:pPr>
        <w:pStyle w:val="Heading1"/>
      </w:pPr>
      <w:r>
        <w:t>1 개발자가 반드시 지킬 경계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코드를 어디에 둘지와 어떤 API를 사용할지 결정할 때 적용합니다.</w:t>
            </w:r>
          </w:p>
        </w:tc>
      </w:tr>
    </w:tbl>
    <w:p>
      <w:pPr>
        <w:pStyle w:val="CPFLabel"/>
      </w:pPr>
      <w:r>
        <w:t>MUST / MUST NOT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6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756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규칙</w:t>
            </w:r>
          </w:p>
        </w:tc>
      </w:tr>
      <w:tr>
        <w:trPr>
          <w:cantSplit/>
        </w:trPr>
        <w:tc>
          <w:tcPr>
            <w:tcW w:type="dxa" w:w="1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MUST</w:t>
            </w:r>
          </w:p>
        </w:tc>
        <w:tc>
          <w:tcPr>
            <w:tcW w:type="dxa" w:w="75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Domain은 Owner DB만 접근</w:t>
            </w:r>
          </w:p>
        </w:tc>
      </w:tr>
      <w:tr>
        <w:trPr>
          <w:cantSplit/>
        </w:trPr>
        <w:tc>
          <w:tcPr>
            <w:tcW w:type="dxa" w:w="1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MUST</w:t>
            </w:r>
          </w:p>
        </w:tc>
        <w:tc>
          <w:tcPr>
            <w:tcW w:type="dxa" w:w="75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Public API/Starter를 사용하고 Internal leaf 직접 참조 금지</w:t>
            </w:r>
          </w:p>
        </w:tc>
      </w:tr>
      <w:tr>
        <w:trPr>
          <w:cantSplit/>
        </w:trPr>
        <w:tc>
          <w:tcPr>
            <w:tcW w:type="dxa" w:w="1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MUST</w:t>
            </w:r>
          </w:p>
        </w:tc>
        <w:tc>
          <w:tcPr>
            <w:tcW w:type="dxa" w:w="75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Same JVM Domain 호출은 in-process, self-HTTP 금지</w:t>
            </w:r>
          </w:p>
        </w:tc>
      </w:tr>
      <w:tr>
        <w:trPr>
          <w:cantSplit/>
        </w:trPr>
        <w:tc>
          <w:tcPr>
            <w:tcW w:type="dxa" w:w="1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MUST</w:t>
            </w:r>
          </w:p>
        </w:tc>
        <w:tc>
          <w:tcPr>
            <w:tcW w:type="dxa" w:w="75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Remote Side Effect UNKNOWN을 보존하고 reconcile</w:t>
            </w:r>
          </w:p>
        </w:tc>
      </w:tr>
      <w:tr>
        <w:trPr>
          <w:cantSplit/>
        </w:trPr>
        <w:tc>
          <w:tcPr>
            <w:tcW w:type="dxa" w:w="1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MUST</w:t>
            </w:r>
          </w:p>
        </w:tc>
        <w:tc>
          <w:tcPr>
            <w:tcW w:type="dxa" w:w="75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DB 변경은 DB3 lifecycle 전체 검증</w:t>
            </w:r>
          </w:p>
        </w:tc>
      </w:tr>
      <w:tr>
        <w:trPr>
          <w:cantSplit/>
        </w:trPr>
        <w:tc>
          <w:tcPr>
            <w:tcW w:type="dxa" w:w="1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MUST NOT</w:t>
            </w:r>
          </w:p>
        </w:tc>
        <w:tc>
          <w:tcPr>
            <w:tcW w:type="dxa" w:w="75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cpf-core에 Admin/Batch Runtime/특정 업무 적치</w:t>
            </w:r>
          </w:p>
        </w:tc>
      </w:tr>
      <w:tr>
        <w:trPr>
          <w:cantSplit/>
        </w:trPr>
        <w:tc>
          <w:tcPr>
            <w:tcW w:type="dxa" w:w="1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MUST NOT</w:t>
            </w:r>
          </w:p>
        </w:tc>
        <w:tc>
          <w:tcPr>
            <w:tcW w:type="dxa" w:w="75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Header6를 업무 개발자가 직접 조립</w:t>
            </w:r>
          </w:p>
        </w:tc>
      </w:tr>
      <w:tr>
        <w:trPr>
          <w:cantSplit/>
        </w:trPr>
        <w:tc>
          <w:tcPr>
            <w:tcW w:type="dxa" w:w="1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MUST NOT</w:t>
            </w:r>
          </w:p>
        </w:tc>
        <w:tc>
          <w:tcPr>
            <w:tcW w:type="dxa" w:w="75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Secret/PII 원문을 로그/Evidence에 기록</w:t>
            </w:r>
          </w:p>
        </w:tc>
      </w:tr>
    </w:tbl>
    <w:p>
      <w:pPr>
        <w:pStyle w:val="Heading1"/>
      </w:pPr>
      <w:r>
        <w:t>2 패키지와 Generated Domain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업무 feature와 technical role을 분리해 찾기 쉬운 Source 구조를 유지합니다.</w:t>
            </w:r>
          </w:p>
        </w:tc>
      </w:tr>
    </w:tbl>
    <w:p>
      <w:pPr>
        <w:pStyle w:val="CPFLabel"/>
      </w:pPr>
      <w:r>
        <w:t>Canonical Generated Domain IA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rPr>
          <w:tblHeader w:val="true"/>
        </w:trPr>
        <w:tc>
          <w:tcPr>
            <w:tcW w:type="dxa" w:w="9866"/>
            <w:shd w:fill="F1F5F9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PFCode"/>
              <w:ind w:left="0"/>
            </w:pPr>
            <w:r>
              <w:t>cpf-&lt;domain&gt;/online/src/main/java/&lt;domain-package&gt;/&lt;business-feature&gt;/&lt;technical-role&gt;</w:t>
            </w:r>
          </w:p>
        </w:tc>
      </w:tr>
    </w:tbl>
    <w:p>
      <w:pPr>
        <w:pStyle w:val="ListBullet"/>
        <w:spacing w:after="40"/>
        <w:ind w:left="454" w:hanging="198"/>
      </w:pPr>
      <w:r>
        <w:t>Business feature는 Domain name과 분리합니다.</w:t>
      </w:r>
    </w:p>
    <w:p>
      <w:pPr>
        <w:pStyle w:val="ListBullet"/>
        <w:spacing w:after="40"/>
        <w:ind w:left="454" w:hanging="198"/>
      </w:pPr>
      <w:r>
        <w:t>미지정 최초 scaffold는 reserved sample feature를 사용합니다.</w:t>
      </w:r>
    </w:p>
    <w:p>
      <w:pPr>
        <w:pStyle w:val="ListBullet"/>
        <w:spacing w:after="40"/>
        <w:ind w:left="454" w:hanging="198"/>
      </w:pPr>
      <w:r>
        <w:t>base는 Generator-owned bootstrap/common contract에만 제한합니다.</w:t>
      </w:r>
    </w:p>
    <w:p>
      <w:pPr>
        <w:pStyle w:val="Heading1"/>
      </w:pPr>
      <w:r>
        <w:t>3 API와 Error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Public Contract·OperationId·오류 상태를 일관되게 유지합니다.</w:t>
            </w:r>
          </w:p>
        </w:tc>
      </w:tr>
    </w:tbl>
    <w:p>
      <w:pPr>
        <w:pStyle w:val="ListBullet"/>
        <w:spacing w:after="40"/>
        <w:ind w:left="454" w:hanging="198"/>
      </w:pPr>
      <w:r>
        <w:t>operationId는 Annotation/OpenAPI/Header/Client/ADM/Log/Trace에서 동일합니다.</w:t>
      </w:r>
    </w:p>
    <w:p>
      <w:pPr>
        <w:pStyle w:val="ListBullet"/>
        <w:spacing w:after="40"/>
        <w:ind w:left="454" w:hanging="198"/>
      </w:pPr>
      <w:r>
        <w:t>CpfResult의 SUCCESS/BUSINESS_FAILURE/TECHNICAL_FAILURE/UNKNOWN을 모두 처리합니다.</w:t>
      </w:r>
    </w:p>
    <w:p>
      <w:pPr>
        <w:pStyle w:val="ListBullet"/>
        <w:spacing w:after="40"/>
        <w:ind w:left="454" w:hanging="198"/>
      </w:pPr>
      <w:r>
        <w:t>Deprecated API는 새 Golden Path에 사용하지 않습니다.</w:t>
      </w:r>
    </w:p>
    <w:p>
      <w:pPr>
        <w:pStyle w:val="Heading1"/>
      </w:pPr>
      <w:r>
        <w:t>4 보안과 운영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위험 동작은 Permission·Reason·Approval·Audit를 제공합니다.</w:t>
            </w:r>
          </w:p>
        </w:tc>
      </w:tr>
    </w:tbl>
    <w:p>
      <w:pPr>
        <w:pStyle w:val="CPFLabel"/>
      </w:pPr>
      <w:r>
        <w:t>보안 표준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9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7327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표준</w:t>
            </w:r>
          </w:p>
        </w:tc>
      </w:tr>
      <w:tr>
        <w:trPr>
          <w:cantSplit/>
        </w:trPr>
        <w:tc>
          <w:tcPr>
            <w:tcW w:type="dxa" w:w="21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Permission</w:t>
            </w:r>
          </w:p>
        </w:tc>
        <w:tc>
          <w:tcPr>
            <w:tcW w:type="dxa" w:w="732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실행 전 권한 검사</w:t>
            </w:r>
          </w:p>
        </w:tc>
      </w:tr>
      <w:tr>
        <w:trPr>
          <w:cantSplit/>
        </w:trPr>
        <w:tc>
          <w:tcPr>
            <w:tcW w:type="dxa" w:w="21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Reason</w:t>
            </w:r>
          </w:p>
        </w:tc>
        <w:tc>
          <w:tcPr>
            <w:tcW w:type="dxa" w:w="732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위험 조치 사유 필수</w:t>
            </w:r>
          </w:p>
        </w:tc>
      </w:tr>
      <w:tr>
        <w:trPr>
          <w:cantSplit/>
        </w:trPr>
        <w:tc>
          <w:tcPr>
            <w:tcW w:type="dxa" w:w="21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Approval</w:t>
            </w:r>
          </w:p>
        </w:tc>
        <w:tc>
          <w:tcPr>
            <w:tcW w:type="dxa" w:w="732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정책에 따른 사전 승인</w:t>
            </w:r>
          </w:p>
        </w:tc>
      </w:tr>
      <w:tr>
        <w:trPr>
          <w:cantSplit/>
        </w:trPr>
        <w:tc>
          <w:tcPr>
            <w:tcW w:type="dxa" w:w="21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Audit</w:t>
            </w:r>
          </w:p>
        </w:tc>
        <w:tc>
          <w:tcPr>
            <w:tcW w:type="dxa" w:w="732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결과/실행자/대상 추적</w:t>
            </w:r>
          </w:p>
        </w:tc>
      </w:tr>
      <w:tr>
        <w:trPr>
          <w:cantSplit/>
        </w:trPr>
        <w:tc>
          <w:tcPr>
            <w:tcW w:type="dxa" w:w="21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Masking</w:t>
            </w:r>
          </w:p>
        </w:tc>
        <w:tc>
          <w:tcPr>
            <w:tcW w:type="dxa" w:w="732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민감정보 원문 금지</w:t>
            </w:r>
          </w:p>
        </w:tc>
      </w:tr>
      <w:tr>
        <w:trPr>
          <w:cantSplit/>
        </w:trPr>
        <w:tc>
          <w:tcPr>
            <w:tcW w:type="dxa" w:w="21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Secret</w:t>
            </w:r>
          </w:p>
        </w:tc>
        <w:tc>
          <w:tcPr>
            <w:tcW w:type="dxa" w:w="732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환경/Secret store 참조, 명령·로그 원문 금지</w:t>
            </w:r>
          </w:p>
        </w:tc>
      </w:tr>
    </w:tbl>
    <w:p>
      <w:pPr>
        <w:pStyle w:val="Heading1"/>
      </w:pPr>
      <w:r>
        <w:t>5 검증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FAST/TARGETED/FULL을 축소 대신 단계적으로 사용합니다.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rPr>
          <w:tblHeader w:val="true"/>
        </w:trPr>
        <w:tc>
          <w:tcPr>
            <w:tcW w:type="dxa" w:w="9866"/>
            <w:shd w:fill="F1F5F9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PFCode"/>
              <w:ind w:left="0"/>
            </w:pPr>
            <w:r>
              <w:t>./gradlew cpfVerifyFast</w:t>
              <w:br/>
              <w:t>./gradlew cpfVerifyTargeted -PcpfTargetCapabilities=&lt;capability&gt;</w:t>
              <w:br/>
              <w:t>./gradlew cpfVerifyFullLocal</w:t>
            </w:r>
          </w:p>
        </w:tc>
      </w:tr>
    </w:tbl>
    <w:p>
      <w:pPr>
        <w:pStyle w:val="CPFCaption"/>
        <w:spacing w:before="160"/>
      </w:pPr>
      <w:r>
        <w:t>근거: Source snapshot ZIP-SHA256:B47BCE7700700BF4의 Public 계약과 CPF 정본 문서. Source에 없는 API·옵션은 작성하지 않음.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기술표준서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6" w:line="283" w:lineRule="auto"/>
    </w:pPr>
    <w:rPr>
      <w:rFonts w:ascii="Noto Sans KR" w:hAnsi="Noto Sans KR" w:eastAsia="Noto Sans KR"/>
      <w:color w:val="2435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7154C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