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아키텍처설계서</w:t>
      </w:r>
    </w:p>
    <w:p>
      <w:pPr>
        <w:pStyle w:val="Subtitle"/>
      </w:pPr>
      <w:r>
        <w:t>모듈 Owner·호출 경계·Generated Domain·DB3·Operations 구조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아키텍트·개발 리드·운영 리드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어디에 구현하고 어떤 방향으로 호출해야 하는지 결정한다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Owner와 Dependency 방향을 먼저 확인합니다.</w:t>
      </w:r>
    </w:p>
    <w:p>
      <w:pPr>
        <w:pStyle w:val="ListBullet"/>
        <w:spacing w:after="60"/>
        <w:ind w:left="283"/>
      </w:pPr>
      <w:r>
        <w:t>Same JVM/Remote/External 경계를 구분합니다.</w:t>
      </w:r>
    </w:p>
    <w:p>
      <w:pPr>
        <w:pStyle w:val="ListBullet"/>
        <w:spacing w:after="60"/>
        <w:ind w:left="283"/>
      </w:pPr>
      <w:r>
        <w:t>DB3와 Operations까지 lifecycle로 연결합니다.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전체 구조를 한눈에 읽기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호출 경계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Generated Domain과 Starter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DB3 Lifecycle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운영 · 보안 · 추적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6</w:t>
            </w:r>
          </w:p>
        </w:tc>
      </w:tr>
    </w:tbl>
    <w:p>
      <w:r>
        <w:br w:type="page"/>
      </w:r>
    </w:p>
    <w:p>
      <w:pPr>
        <w:pStyle w:val="Heading1"/>
      </w:pPr>
      <w:r>
        <w:t>1 전체 구조를 한눈에 읽기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어떤 모듈이 무엇을 소유하고 호출 방향이 어디로 향하는지 확인합니다.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CPF 전체 Architecture Map" title="CPF 전체 Architecture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Generated Business Domain, Framework/Capability, 선택형 Gateway/Backoffice, Operations, DB3의 Owner 경계를 한 화면에서 구분합니다.</w:t>
      </w:r>
    </w:p>
    <w:p>
      <w:pPr>
        <w:pStyle w:val="CPFLabel"/>
      </w:pPr>
      <w:r>
        <w:t>공식 Owner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00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1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0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책임</w:t>
            </w:r>
          </w:p>
        </w:tc>
        <w:tc>
          <w:tcPr>
            <w:tcW w:type="dxa" w:w="450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금지</w:t>
            </w:r>
          </w:p>
        </w:tc>
      </w:tr>
      <w:tr>
        <w:trPr>
          <w:cantSplit/>
        </w:trPr>
        <w:tc>
          <w:tcPr>
            <w:tcW w:type="dxa" w:w="20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기술 핵심</w:t>
            </w:r>
          </w:p>
        </w:tc>
        <w:tc>
          <w:tcPr>
            <w:tcW w:type="dxa" w:w="31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cpf-core</w:t>
            </w:r>
          </w:p>
        </w:tc>
        <w:tc>
          <w:tcPr>
            <w:tcW w:type="dxa" w:w="5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topology-independent core contracts</w:t>
            </w:r>
          </w:p>
        </w:tc>
        <w:tc>
          <w:tcPr>
            <w:tcW w:type="dxa" w:w="45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Admin/Batch Runtime/업무 구현 적치 금지</w:t>
            </w:r>
          </w:p>
        </w:tc>
      </w:tr>
      <w:tr>
        <w:trPr>
          <w:cantSplit/>
        </w:trPr>
        <w:tc>
          <w:tcPr>
            <w:tcW w:type="dxa" w:w="20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프레임워크 공통</w:t>
            </w:r>
          </w:p>
        </w:tc>
        <w:tc>
          <w:tcPr>
            <w:tcW w:type="dxa" w:w="31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cpf-common</w:t>
            </w:r>
          </w:p>
        </w:tc>
        <w:tc>
          <w:tcPr>
            <w:tcW w:type="dxa" w:w="5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공통 기능/계약</w:t>
            </w:r>
          </w:p>
        </w:tc>
        <w:tc>
          <w:tcPr>
            <w:tcW w:type="dxa" w:w="45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특정 고객 Domain 원장 소유 금지</w:t>
            </w:r>
          </w:p>
        </w:tc>
      </w:tr>
      <w:tr>
        <w:trPr>
          <w:cantSplit/>
        </w:trPr>
        <w:tc>
          <w:tcPr>
            <w:tcW w:type="dxa" w:w="20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플랫폼 운영</w:t>
            </w:r>
          </w:p>
        </w:tc>
        <w:tc>
          <w:tcPr>
            <w:tcW w:type="dxa" w:w="31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cpf-admin</w:t>
            </w:r>
          </w:p>
        </w:tc>
        <w:tc>
          <w:tcPr>
            <w:tcW w:type="dxa" w:w="5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플랫폼 운영/관리</w:t>
            </w:r>
          </w:p>
        </w:tc>
        <w:tc>
          <w:tcPr>
            <w:tcW w:type="dxa" w:w="45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원장 직접 소유 금지</w:t>
            </w:r>
          </w:p>
        </w:tc>
      </w:tr>
      <w:tr>
        <w:trPr>
          <w:cantSplit/>
        </w:trPr>
        <w:tc>
          <w:tcPr>
            <w:tcW w:type="dxa" w:w="20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Backoffice</w:t>
            </w:r>
          </w:p>
        </w:tc>
        <w:tc>
          <w:tcPr>
            <w:tcW w:type="dxa" w:w="31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cpf-backoffice</w:t>
            </w:r>
          </w:p>
        </w:tc>
        <w:tc>
          <w:tcPr>
            <w:tcW w:type="dxa" w:w="5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관리자/Backoffice Owner</w:t>
            </w:r>
          </w:p>
        </w:tc>
        <w:tc>
          <w:tcPr>
            <w:tcW w:type="dxa" w:w="45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Backoffice 외 별도 업무 관리자 Owner 중복 금지</w:t>
            </w:r>
          </w:p>
        </w:tc>
      </w:tr>
      <w:tr>
        <w:trPr>
          <w:cantSplit/>
        </w:trPr>
        <w:tc>
          <w:tcPr>
            <w:tcW w:type="dxa" w:w="20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  <w:tc>
          <w:tcPr>
            <w:tcW w:type="dxa" w:w="31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cpf-batch</w:t>
            </w:r>
          </w:p>
        </w:tc>
        <w:tc>
          <w:tcPr>
            <w:tcW w:type="dxa" w:w="5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Batch/Worker/Scheduler/Center-Cut</w:t>
            </w:r>
          </w:p>
        </w:tc>
        <w:tc>
          <w:tcPr>
            <w:tcW w:type="dxa" w:w="45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core로 Runtime 역유입 금지</w:t>
            </w:r>
          </w:p>
        </w:tc>
      </w:tr>
      <w:tr>
        <w:trPr>
          <w:cantSplit/>
        </w:trPr>
        <w:tc>
          <w:tcPr>
            <w:tcW w:type="dxa" w:w="20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Domain</w:t>
            </w:r>
          </w:p>
        </w:tc>
        <w:tc>
          <w:tcPr>
            <w:tcW w:type="dxa" w:w="31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Generated cpf-&lt;domain&gt;</w:t>
            </w:r>
          </w:p>
        </w:tc>
        <w:tc>
          <w:tcPr>
            <w:tcW w:type="dxa" w:w="5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원장/Operation</w:t>
            </w:r>
          </w:p>
        </w:tc>
        <w:tc>
          <w:tcPr>
            <w:tcW w:type="dxa" w:w="450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타 Domain DB 직접 접근 금지</w:t>
            </w:r>
          </w:p>
        </w:tc>
      </w:tr>
    </w:tbl>
    <w:p>
      <w:pPr>
        <w:pStyle w:val="Heading1"/>
      </w:pPr>
      <w:r>
        <w:t>2 호출 경계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Same JVM과 Remote를 같은 업무 계약으로 유지하되 물리 호출과 Transaction 경계는 구분합니다.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2" name="Picture 2" descr="Same JVM과 Remote 호출 경계" title="Same JVM과 Remote 호출 경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같은 JVM에서는 in-process binding을 사용하고 self-HTTP를 만들지 않습니다. 분리 WAS에서는 Remote Adapter와 Registry를 사용하지만 내부 호출을 Gateway로 보내지 않습니다.</w:t>
      </w:r>
    </w:p>
    <w:p>
      <w:pPr>
        <w:pStyle w:val="CPFLabel"/>
      </w:pPr>
      <w:r>
        <w:t>경계별 책임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40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경계</w:t>
            </w:r>
          </w:p>
        </w:tc>
        <w:tc>
          <w:tcPr>
            <w:tcW w:type="dxa" w:w="390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390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Transaction</w:t>
            </w:r>
          </w:p>
        </w:tc>
        <w:tc>
          <w:tcPr>
            <w:tcW w:type="dxa" w:w="480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복구</w:t>
            </w:r>
          </w:p>
        </w:tc>
      </w:tr>
      <w:tr>
        <w:trPr>
          <w:cantSplit/>
        </w:trPr>
        <w:tc>
          <w:tcPr>
            <w:tcW w:type="dxa" w:w="240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Same JVM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CpfContext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Local Tx 정책</w:t>
            </w:r>
          </w:p>
        </w:tc>
        <w:tc>
          <w:tcPr>
            <w:tcW w:type="dxa" w:w="48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즉시 결과</w:t>
            </w:r>
          </w:p>
        </w:tc>
      </w:tr>
      <w:tr>
        <w:trPr>
          <w:cantSplit/>
        </w:trPr>
        <w:tc>
          <w:tcPr>
            <w:tcW w:type="dxa" w:w="240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Remote Domain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System6 serialize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WAS별 Local Tx</w:t>
            </w:r>
          </w:p>
        </w:tc>
        <w:tc>
          <w:tcPr>
            <w:tcW w:type="dxa" w:w="48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UNKNOWN/Reconcile 가능</w:t>
            </w:r>
          </w:p>
        </w:tc>
      </w:tr>
      <w:tr>
        <w:trPr>
          <w:cantSplit/>
        </w:trPr>
        <w:tc>
          <w:tcPr>
            <w:tcW w:type="dxa" w:w="240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External Integration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System6/Integration Context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Local Tx와 분리</w:t>
            </w:r>
          </w:p>
        </w:tc>
        <w:tc>
          <w:tcPr>
            <w:tcW w:type="dxa" w:w="48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Timeout/Retry/Idempotency</w:t>
            </w:r>
          </w:p>
        </w:tc>
      </w:tr>
      <w:tr>
        <w:trPr>
          <w:cantSplit/>
        </w:trPr>
        <w:tc>
          <w:tcPr>
            <w:tcW w:type="dxa" w:w="240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Async/Message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Context snapshot/header</w:t>
            </w:r>
          </w:p>
        </w:tc>
        <w:tc>
          <w:tcPr>
            <w:tcW w:type="dxa" w:w="390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consumer Local Tx</w:t>
            </w:r>
          </w:p>
        </w:tc>
        <w:tc>
          <w:tcPr>
            <w:tcW w:type="dxa" w:w="48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Inbox/Idempotency/DLQ</w:t>
            </w:r>
          </w:p>
        </w:tc>
      </w:tr>
    </w:tbl>
    <w:p>
      <w:pPr>
        <w:pStyle w:val="Heading1"/>
      </w:pPr>
      <w:r>
        <w:t>3 Generated Domain과 Starter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Generator가 만든 Domain은 Public Starter와 Canonical package IA를 사용합니다.</w:t>
            </w:r>
          </w:p>
        </w:tc>
      </w:tr>
    </w:tbl>
    <w:p>
      <w:pPr>
        <w:pStyle w:val="ListBullet"/>
        <w:spacing w:after="40"/>
        <w:ind w:left="454" w:hanging="198"/>
      </w:pPr>
      <w:r>
        <w:t>Canonical: cpf-&lt;domain&gt;/online/src/main/java/&lt;domain-package&gt;/&lt;business-feature&gt;/&lt;technical-role&gt;.</w:t>
      </w:r>
    </w:p>
    <w:p>
      <w:pPr>
        <w:pStyle w:val="ListBullet"/>
        <w:spacing w:after="40"/>
        <w:ind w:left="454" w:hanging="198"/>
      </w:pPr>
      <w:r>
        <w:t>중복 &lt;domain&gt;.online.&lt;domain&gt; 또는 &lt;domain&gt;/&lt;domain&gt; 구조를 생성하지 않습니다.</w:t>
      </w:r>
    </w:p>
    <w:p>
      <w:pPr>
        <w:pStyle w:val="ListBullet"/>
        <w:spacing w:after="40"/>
        <w:ind w:left="454" w:hanging="198"/>
      </w:pPr>
      <w:r>
        <w:t>online은 필수, batch는 선택입니다.</w:t>
      </w:r>
    </w:p>
    <w:p>
      <w:pPr>
        <w:pStyle w:val="ListBullet"/>
        <w:spacing w:after="40"/>
        <w:ind w:left="454" w:hanging="198"/>
      </w:pPr>
      <w:r>
        <w:t>Public BOM에는 Internal Leaf를 노출하지 않습니다.</w:t>
      </w:r>
    </w:p>
    <w:p>
      <w:pPr>
        <w:pStyle w:val="Heading1"/>
      </w:pPr>
      <w:r>
        <w:t>4 DB3 Lifecycle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Canonical DB Source가 Oracle/PostgreSQL/MariaDB의 Install/Upgrade/Rollback/Runtime까지 이어집니다.</w:t>
            </w:r>
          </w:p>
        </w:tc>
      </w:tr>
    </w:tbl>
    <w:p>
      <w:pPr>
        <w:pStyle w:val="CPFLabel"/>
      </w:pPr>
      <w:r>
        <w:t>DB lifecycle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55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1146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 결과</w:t>
            </w:r>
          </w:p>
        </w:tc>
      </w:tr>
      <w:tr>
        <w:trPr>
          <w:cantSplit/>
        </w:trPr>
        <w:tc>
          <w:tcPr>
            <w:tcW w:type="dxa" w:w="35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Canonical Source</w:t>
            </w:r>
          </w:p>
        </w:tc>
        <w:tc>
          <w:tcPr>
            <w:tcW w:type="dxa" w:w="114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단일 정의/metadata</w:t>
            </w:r>
          </w:p>
        </w:tc>
      </w:tr>
      <w:tr>
        <w:trPr>
          <w:cantSplit/>
        </w:trPr>
        <w:tc>
          <w:tcPr>
            <w:tcW w:type="dxa" w:w="35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Vendor Render</w:t>
            </w:r>
          </w:p>
        </w:tc>
        <w:tc>
          <w:tcPr>
            <w:tcW w:type="dxa" w:w="114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Oracle/PostgreSQL/MariaDB</w:t>
            </w:r>
          </w:p>
        </w:tc>
      </w:tr>
      <w:tr>
        <w:trPr>
          <w:cantSplit/>
        </w:trPr>
        <w:tc>
          <w:tcPr>
            <w:tcW w:type="dxa" w:w="35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Migration</w:t>
            </w:r>
          </w:p>
        </w:tc>
        <w:tc>
          <w:tcPr>
            <w:tcW w:type="dxa" w:w="114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upgrade plan/hash</w:t>
            </w:r>
          </w:p>
        </w:tc>
      </w:tr>
      <w:tr>
        <w:trPr>
          <w:cantSplit/>
        </w:trPr>
        <w:tc>
          <w:tcPr>
            <w:tcW w:type="dxa" w:w="35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Seed</w:t>
            </w:r>
          </w:p>
        </w:tc>
        <w:tc>
          <w:tcPr>
            <w:tcW w:type="dxa" w:w="114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초기 업무/운영 데이터</w:t>
            </w:r>
          </w:p>
        </w:tc>
      </w:tr>
      <w:tr>
        <w:trPr>
          <w:cantSplit/>
        </w:trPr>
        <w:tc>
          <w:tcPr>
            <w:tcW w:type="dxa" w:w="35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Runtime</w:t>
            </w:r>
          </w:p>
        </w:tc>
        <w:tc>
          <w:tcPr>
            <w:tcW w:type="dxa" w:w="114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Repository/Query/Index/FK</w:t>
            </w:r>
          </w:p>
        </w:tc>
      </w:tr>
      <w:tr>
        <w:trPr>
          <w:cantSplit/>
        </w:trPr>
        <w:tc>
          <w:tcPr>
            <w:tcW w:type="dxa" w:w="35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Rollback/Recovery</w:t>
            </w:r>
          </w:p>
        </w:tc>
        <w:tc>
          <w:tcPr>
            <w:tcW w:type="dxa" w:w="114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명시적 reverse 또는 recovery</w:t>
            </w:r>
          </w:p>
        </w:tc>
      </w:tr>
      <w:tr>
        <w:trPr>
          <w:cantSplit/>
        </w:trPr>
        <w:tc>
          <w:tcPr>
            <w:tcW w:type="dxa" w:w="35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Generator/Test</w:t>
            </w:r>
          </w:p>
        </w:tc>
        <w:tc>
          <w:tcPr>
            <w:tcW w:type="dxa" w:w="114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생성 Domain + DB3 parity</w:t>
            </w:r>
          </w:p>
        </w:tc>
      </w:tr>
    </w:tbl>
    <w:p>
      <w:pPr>
        <w:pStyle w:val="Heading1"/>
      </w:pPr>
      <w:r>
        <w:t>5 운영 · 보안 · 추적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거래·실행·인스턴스를 연결하고 위험 조치는 승인과 감사를 남깁니다.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3" name="Picture 3" descr="CPF Operations Plane" title="CPF Operations Pla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Transaction/Operation/Instance 단위 추적과 Permission/Approval/Audit/Recovery를 하나의 운영 흐름으로 연결합니다.</w:t>
      </w:r>
    </w:p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아키텍처설계서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