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Gateway 개발·사용 가이드</w:t>
      </w:r>
    </w:p>
    <w:p>
      <w:pPr>
        <w:pStyle w:val="Subtitle"/>
      </w:pPr>
      <w:r>
        <w:t>Gateway가 필요한 경계와 내부 Domain 호출 경계를 혼동하지 않는 실무 가이드</w:t>
      </w:r>
    </w:p>
    <w:p>
      <w:pPr>
        <w:spacing w:before="24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누가 보는가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Gateway/BFF/Domain 개발자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이 문서로 끝낼 일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외부 Entry 정책을 적용하면서 내부 Domain 호출을 왜곡하지 않는다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Harness 2.2.0 · Source 054d894b47f4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Gateway는 외부 Entry/Edge 정책이 필요할 때 선택합니다.</w:t>
      </w:r>
    </w:p>
    <w:p>
      <w:pPr>
        <w:pStyle w:val="ListBullet"/>
        <w:spacing w:after="60"/>
        <w:ind w:left="283"/>
      </w:pPr>
      <w:r>
        <w:t>내부 Domain 호출은 Gateway를 경유하지 않습니다.</w:t>
      </w:r>
    </w:p>
    <w:p>
      <w:pPr>
        <w:pStyle w:val="ListBullet"/>
        <w:spacing w:after="60"/>
        <w:ind w:left="283"/>
      </w:pPr>
      <w:r>
        <w:t>System6/operationId/상태 코드를 기준으로 장애를 추적합니다.</w:t>
      </w:r>
    </w:p>
    <w:p>
      <w:r>
        <w:br w:type="page"/>
      </w:r>
    </w:p>
    <w:p>
      <w:pPr>
        <w:pStyle w:val="Heading1"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1247"/>
            <w:shd w:fill="17324D"/>
          </w:tcPr>
          <w:p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12190"/>
            <w:shd w:fill="17324D"/>
          </w:tcPr>
          <w:p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1020"/>
            <w:shd w:fill="17324D"/>
          </w:tcPr>
          <w:p>
            <w:r>
              <w:rPr>
                <w:b/>
                <w:color w:val="FFFFFF"/>
                <w:sz w:val="17"/>
              </w:rPr>
              <w:t>쪽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1 Gateway가 필요한지 먼저 판단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2 Route와 Operation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3 Edge Security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4 관측과 장애 복구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5</w:t>
            </w:r>
          </w:p>
        </w:tc>
      </w:tr>
    </w:tbl>
    <w:p>
      <w:r>
        <w:br w:type="page"/>
      </w:r>
    </w:p>
    <w:p>
      <w:pPr>
        <w:pStyle w:val="Heading1"/>
      </w:pPr>
      <w:r>
        <w:t>1 Gateway가 필요한지 먼저 판단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모든 내부 호출을 Gateway에 넣지 않고 외부 Entry/Edge 정책이 필요한 경우에만 선택합니다.</w:t>
            </w:r>
          </w:p>
        </w:tc>
      </w:tr>
    </w:tbl>
    <w:p>
      <w:pPr>
        <w:pStyle w:val="CPFLabel"/>
      </w:pPr>
      <w:r>
        <w:t>경로 선택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577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739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권장 경로</w:t>
            </w:r>
          </w:p>
        </w:tc>
        <w:tc>
          <w:tcPr>
            <w:tcW w:type="dxa" w:w="405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Gateway</w:t>
            </w:r>
          </w:p>
        </w:tc>
      </w:tr>
      <w:tr>
        <w:trPr>
          <w:cantSplit/>
        </w:trPr>
        <w:tc>
          <w:tcPr>
            <w:tcW w:type="dxa" w:w="357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Same JVM Domain</w:t>
            </w:r>
          </w:p>
        </w:tc>
        <w:tc>
          <w:tcPr>
            <w:tcW w:type="dxa" w:w="739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Caller → in-process binding → Owner Domain</w:t>
            </w:r>
          </w:p>
        </w:tc>
        <w:tc>
          <w:tcPr>
            <w:tcW w:type="dxa" w:w="40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사용하지 않음</w:t>
            </w:r>
          </w:p>
        </w:tc>
      </w:tr>
      <w:tr>
        <w:trPr>
          <w:cantSplit/>
        </w:trPr>
        <w:tc>
          <w:tcPr>
            <w:tcW w:type="dxa" w:w="357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분리 WAS/MSA 내부 Domain</w:t>
            </w:r>
          </w:p>
        </w:tc>
        <w:tc>
          <w:tcPr>
            <w:tcW w:type="dxa" w:w="739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Remote Adapter/Registry → Owner Domain</w:t>
            </w:r>
          </w:p>
        </w:tc>
        <w:tc>
          <w:tcPr>
            <w:tcW w:type="dxa" w:w="40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내부 호출 경유하지 않음</w:t>
            </w:r>
          </w:p>
        </w:tc>
      </w:tr>
      <w:tr>
        <w:trPr>
          <w:cantSplit/>
        </w:trPr>
        <w:tc>
          <w:tcPr>
            <w:tcW w:type="dxa" w:w="357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외부 Partner/Channel</w:t>
            </w:r>
          </w:p>
        </w:tc>
        <w:tc>
          <w:tcPr>
            <w:tcW w:type="dxa" w:w="739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External → Gateway → Target</w:t>
            </w:r>
          </w:p>
        </w:tc>
        <w:tc>
          <w:tcPr>
            <w:tcW w:type="dxa" w:w="40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선택/권장</w:t>
            </w:r>
          </w:p>
        </w:tc>
      </w:tr>
      <w:tr>
        <w:trPr>
          <w:cantSplit/>
        </w:trPr>
        <w:tc>
          <w:tcPr>
            <w:tcW w:type="dxa" w:w="357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관리 UI/BFF</w:t>
            </w:r>
          </w:p>
        </w:tc>
        <w:tc>
          <w:tcPr>
            <w:tcW w:type="dxa" w:w="739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Channel/BFF → 내부 Owner 계약</w:t>
            </w:r>
          </w:p>
        </w:tc>
        <w:tc>
          <w:tcPr>
            <w:tcW w:type="dxa" w:w="40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Topology에 따라 Edge 사용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1" name="Picture 1" descr="Gateway 선택 경계 시각화" title="Gateway 선택 경계 시각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w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Gateway는 외부 Entry와 Edge 정책을 담당하는 선택 경계입니다. Domain A에서 Domain B로 가는 내부 호출을 Gateway로 우회시키지 않습니다.</w:t>
      </w:r>
    </w:p>
    <w:p>
      <w:pPr>
        <w:pStyle w:val="Heading1"/>
      </w:pPr>
      <w:r>
        <w:t>2 Route와 Operation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Route는 endpoint를 고르고 업무 코드는 Domain/Operation 계약을 호출합니다.</w:t>
            </w:r>
          </w:p>
        </w:tc>
      </w:tr>
    </w:tbl>
    <w:p>
      <w:pPr>
        <w:pStyle w:val="CPFLabel"/>
      </w:pPr>
      <w:r>
        <w:t>식별자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42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값</w:t>
            </w:r>
          </w:p>
        </w:tc>
        <w:tc>
          <w:tcPr>
            <w:tcW w:type="dxa" w:w="5497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Owner</w:t>
            </w:r>
          </w:p>
        </w:tc>
        <w:tc>
          <w:tcPr>
            <w:tcW w:type="dxa" w:w="6107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검증</w:t>
            </w:r>
          </w:p>
        </w:tc>
      </w:tr>
      <w:tr>
        <w:trPr>
          <w:cantSplit/>
        </w:trPr>
        <w:tc>
          <w:tcPr>
            <w:tcW w:type="dxa" w:w="34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systemCode</w:t>
            </w:r>
          </w:p>
        </w:tc>
        <w:tc>
          <w:tcPr>
            <w:tcW w:type="dxa" w:w="549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시스템 정본</w:t>
            </w:r>
          </w:p>
        </w:tc>
        <w:tc>
          <w:tcPr>
            <w:tcW w:type="dxa" w:w="610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Target SystemCode 일치</w:t>
            </w:r>
          </w:p>
        </w:tc>
      </w:tr>
      <w:tr>
        <w:trPr>
          <w:cantSplit/>
        </w:trPr>
        <w:tc>
          <w:tcPr>
            <w:tcW w:type="dxa" w:w="34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operationId</w:t>
            </w:r>
          </w:p>
        </w:tc>
        <w:tc>
          <w:tcPr>
            <w:tcW w:type="dxa" w:w="549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Annotation/OpenAPI/Client/Registry/ADM/Log 공통</w:t>
            </w:r>
          </w:p>
        </w:tc>
        <w:tc>
          <w:tcPr>
            <w:tcW w:type="dxa" w:w="610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stable id</w:t>
            </w:r>
          </w:p>
        </w:tc>
      </w:tr>
      <w:tr>
        <w:trPr>
          <w:cantSplit/>
        </w:trPr>
        <w:tc>
          <w:tcPr>
            <w:tcW w:type="dxa" w:w="34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transactionId</w:t>
            </w:r>
          </w:p>
        </w:tc>
        <w:tc>
          <w:tcPr>
            <w:tcW w:type="dxa" w:w="549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거래 Context</w:t>
            </w:r>
          </w:p>
        </w:tc>
        <w:tc>
          <w:tcPr>
            <w:tcW w:type="dxa" w:w="610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hop 간 유지</w:t>
            </w:r>
          </w:p>
        </w:tc>
      </w:tr>
      <w:tr>
        <w:trPr>
          <w:cantSplit/>
        </w:trPr>
        <w:tc>
          <w:tcPr>
            <w:tcW w:type="dxa" w:w="34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instanceId</w:t>
            </w:r>
          </w:p>
        </w:tc>
        <w:tc>
          <w:tcPr>
            <w:tcW w:type="dxa" w:w="549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현재 Runtime instance</w:t>
            </w:r>
          </w:p>
        </w:tc>
        <w:tc>
          <w:tcPr>
            <w:tcW w:type="dxa" w:w="610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header에 넣지 않음</w:t>
            </w:r>
          </w:p>
        </w:tc>
      </w:tr>
    </w:tbl>
    <w:p>
      <w:pPr>
        <w:pStyle w:val="Heading1"/>
      </w:pPr>
      <w:r>
        <w:t>3 Edge Security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인증·인가·Rate Limit·Header 검증을 Edge에서 수행하되 업무 Owner 권한을 우회하지 않습니다.</w:t>
            </w:r>
          </w:p>
        </w:tc>
      </w:tr>
    </w:tbl>
    <w:p>
      <w:pPr>
        <w:pStyle w:val="CPFLabel"/>
      </w:pPr>
      <w:r>
        <w:t>상태 코드 처리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221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665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Gateway 판단</w:t>
            </w:r>
          </w:p>
        </w:tc>
        <w:tc>
          <w:tcPr>
            <w:tcW w:type="dxa" w:w="6157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Caller 행동</w:t>
            </w:r>
          </w:p>
        </w:tc>
      </w:tr>
      <w:tr>
        <w:trPr>
          <w:cantSplit/>
        </w:trPr>
        <w:tc>
          <w:tcPr>
            <w:tcW w:type="dxa" w:w="2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401</w:t>
            </w:r>
          </w:p>
        </w:tc>
        <w:tc>
          <w:tcPr>
            <w:tcW w:type="dxa" w:w="66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인증정보 없음/무효</w:t>
            </w:r>
          </w:p>
        </w:tc>
        <w:tc>
          <w:tcPr>
            <w:tcW w:type="dxa" w:w="615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재인증</w:t>
            </w:r>
          </w:p>
        </w:tc>
      </w:tr>
      <w:tr>
        <w:trPr>
          <w:cantSplit/>
        </w:trPr>
        <w:tc>
          <w:tcPr>
            <w:tcW w:type="dxa" w:w="2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403</w:t>
            </w:r>
          </w:p>
        </w:tc>
        <w:tc>
          <w:tcPr>
            <w:tcW w:type="dxa" w:w="66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권한 부족</w:t>
            </w:r>
          </w:p>
        </w:tc>
        <w:tc>
          <w:tcPr>
            <w:tcW w:type="dxa" w:w="615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권한/승인 확인</w:t>
            </w:r>
          </w:p>
        </w:tc>
      </w:tr>
      <w:tr>
        <w:trPr>
          <w:cantSplit/>
        </w:trPr>
        <w:tc>
          <w:tcPr>
            <w:tcW w:type="dxa" w:w="2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404</w:t>
            </w:r>
          </w:p>
        </w:tc>
        <w:tc>
          <w:tcPr>
            <w:tcW w:type="dxa" w:w="66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route/operation 없음</w:t>
            </w:r>
          </w:p>
        </w:tc>
        <w:tc>
          <w:tcPr>
            <w:tcW w:type="dxa" w:w="615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registry/version 확인</w:t>
            </w:r>
          </w:p>
        </w:tc>
      </w:tr>
      <w:tr>
        <w:trPr>
          <w:cantSplit/>
        </w:trPr>
        <w:tc>
          <w:tcPr>
            <w:tcW w:type="dxa" w:w="2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409</w:t>
            </w:r>
          </w:p>
        </w:tc>
        <w:tc>
          <w:tcPr>
            <w:tcW w:type="dxa" w:w="66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중복/충돌</w:t>
            </w:r>
          </w:p>
        </w:tc>
        <w:tc>
          <w:tcPr>
            <w:tcW w:type="dxa" w:w="615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idempotency/state 확인</w:t>
            </w:r>
          </w:p>
        </w:tc>
      </w:tr>
      <w:tr>
        <w:trPr>
          <w:cantSplit/>
        </w:trPr>
        <w:tc>
          <w:tcPr>
            <w:tcW w:type="dxa" w:w="2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429</w:t>
            </w:r>
          </w:p>
        </w:tc>
        <w:tc>
          <w:tcPr>
            <w:tcW w:type="dxa" w:w="66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rate limit</w:t>
            </w:r>
          </w:p>
        </w:tc>
        <w:tc>
          <w:tcPr>
            <w:tcW w:type="dxa" w:w="615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Retry-After/backoff</w:t>
            </w:r>
          </w:p>
        </w:tc>
      </w:tr>
      <w:tr>
        <w:trPr>
          <w:cantSplit/>
        </w:trPr>
        <w:tc>
          <w:tcPr>
            <w:tcW w:type="dxa" w:w="2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500</w:t>
            </w:r>
          </w:p>
        </w:tc>
        <w:tc>
          <w:tcPr>
            <w:tcW w:type="dxa" w:w="66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내부 기술오류</w:t>
            </w:r>
          </w:p>
        </w:tc>
        <w:tc>
          <w:tcPr>
            <w:tcW w:type="dxa" w:w="615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trace 확인</w:t>
            </w:r>
          </w:p>
        </w:tc>
      </w:tr>
      <w:tr>
        <w:trPr>
          <w:cantSplit/>
        </w:trPr>
        <w:tc>
          <w:tcPr>
            <w:tcW w:type="dxa" w:w="2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503</w:t>
            </w:r>
          </w:p>
        </w:tc>
        <w:tc>
          <w:tcPr>
            <w:tcW w:type="dxa" w:w="66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대상 unavailable</w:t>
            </w:r>
          </w:p>
        </w:tc>
        <w:tc>
          <w:tcPr>
            <w:tcW w:type="dxa" w:w="615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health/route/retry-safe 확인</w:t>
            </w:r>
          </w:p>
        </w:tc>
      </w:tr>
    </w:tbl>
    <w:p>
      <w:pPr>
        <w:pStyle w:val="Heading1"/>
      </w:pPr>
      <w:r>
        <w:t>4 관측과 장애 복구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Gateway trace만 보고 전체 거래 성공을 판단하지 않고 Owner Domain과 downstream 결과까지 연결합니다.</w:t>
            </w:r>
          </w:p>
        </w:tc>
      </w:tr>
    </w:tbl>
    <w:p>
      <w:pPr>
        <w:pStyle w:val="ListBullet"/>
        <w:spacing w:after="40"/>
        <w:ind w:left="454" w:hanging="198"/>
      </w:pPr>
      <w:r>
        <w:t>System6와 operationId를 통해 hop을 연결합니다.</w:t>
      </w:r>
    </w:p>
    <w:p>
      <w:pPr>
        <w:pStyle w:val="ListBullet"/>
        <w:spacing w:after="40"/>
        <w:ind w:left="454" w:hanging="198"/>
      </w:pPr>
      <w:r>
        <w:t>Side-effecting timeout은 UNKNOWN 가능성을 유지합니다.</w:t>
      </w:r>
    </w:p>
    <w:p>
      <w:pPr>
        <w:pStyle w:val="ListBullet"/>
        <w:spacing w:after="40"/>
        <w:ind w:left="454" w:hanging="198"/>
      </w:pPr>
      <w:r>
        <w:t>Retry는 대상 Operation의 idempotency/side-effect 정책을 확인한 뒤 적용합니다.</w:t>
      </w:r>
    </w:p>
    <w:p>
      <w:pPr>
        <w:pStyle w:val="ListBullet"/>
        <w:spacing w:after="40"/>
        <w:ind w:left="454" w:hanging="198"/>
      </w:pPr>
      <w:r>
        <w:t>Gateway가 unavailable이어도 내부 Same-JVM/Remote Domain 계약 자체를 왜곡하지 않습니다.</w:t>
      </w:r>
    </w:p>
    <w:p>
      <w:pPr>
        <w:pStyle w:val="CPFCaption"/>
        <w:spacing w:before="160"/>
      </w:pPr>
      <w:r>
        <w:t>근거: Source snapshot ZIP-SHA256:B47BCE7700700BF4의 Public 계약과 CPF 정본 문서. Source에 없는 API·옵션은 작성하지 않음.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Gateway 개발·사용 가이드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6" w:line="283" w:lineRule="auto"/>
    </w:pPr>
    <w:rPr>
      <w:rFonts w:ascii="Noto Sans KR" w:hAnsi="Noto Sans KR" w:eastAsia="Noto Sans KR"/>
      <w:color w:val="24354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7154C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