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Specification 기술 명세</w:t>
      </w:r>
    </w:p>
    <w:p>
      <w:pPr>
        <w:pStyle w:val="Subtitle"/>
      </w:pPr>
      <w:r>
        <w:t>CPF의 제품 범위·Stack·Public Contract·Identity·DB3 명세</w:t>
      </w:r>
    </w:p>
    <w:p>
      <w:pPr>
        <w:spacing w:before="24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누가 보는가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아키텍트·리드 개발자·검수자</w:t>
            </w:r>
          </w:p>
        </w:tc>
      </w:tr>
      <w:t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이 문서로 끝낼 일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구현/문서/환경이 어떤 canonical 계약을 따라야 하는지 확인한다</w:t>
            </w:r>
          </w:p>
        </w:tc>
      </w:tr>
      <w:t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Harness 2.2.0 · Source 054d894b47f4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Source의 기술 Stack을 확인합니다.</w:t>
      </w:r>
    </w:p>
    <w:p>
      <w:pPr>
        <w:pStyle w:val="ListBullet"/>
        <w:spacing w:after="60"/>
        <w:ind w:left="283"/>
      </w:pPr>
      <w:r>
        <w:t>Public Contract와 Identity 정본을 확인합니다.</w:t>
      </w:r>
    </w:p>
    <w:p>
      <w:pPr>
        <w:pStyle w:val="ListBullet"/>
        <w:spacing w:after="60"/>
        <w:ind w:left="283"/>
      </w:pPr>
      <w:r>
        <w:t>Topology/DB3 지원 범위를 오해 없이 확인합니다.</w:t>
      </w:r>
    </w:p>
    <w:p>
      <w:r>
        <w:br w:type="page"/>
      </w:r>
    </w:p>
    <w:p>
      <w:pPr>
        <w:pStyle w:val="Heading1"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1247"/>
            <w:shd w:fill="17324D"/>
          </w:tcPr>
          <w:p>
            <w:r>
              <w:rPr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12190"/>
            <w:shd w:fill="17324D"/>
          </w:tcPr>
          <w:p>
            <w:r>
              <w:rPr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1020"/>
            <w:shd w:fill="17324D"/>
          </w:tcPr>
          <w:p>
            <w:r>
              <w:rPr>
                <w:b/>
                <w:color w:val="FFFFFF"/>
                <w:sz w:val="17"/>
              </w:rPr>
              <w:t>쪽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1 제품 범위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2 기술 Stack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3 Public Contract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4 Context · Identity · Operation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5 지원 DB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6 Topology와 Optionality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5</w:t>
            </w:r>
          </w:p>
        </w:tc>
      </w:tr>
    </w:tbl>
    <w:p>
      <w:r>
        <w:br w:type="page"/>
      </w:r>
    </w:p>
    <w:p>
      <w:pPr>
        <w:pStyle w:val="Heading1"/>
      </w:pPr>
      <w:r>
        <w:t>1 제품 범위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CPF가 제공하는 Runtime/개발/운영 계약의 범위를 빠르게 확인합니다.</w:t>
            </w:r>
          </w:p>
        </w:tc>
      </w:tr>
    </w:tbl>
    <w:p>
      <w:pPr>
        <w:pStyle w:val="CPFLabel"/>
      </w:pPr>
      <w:r>
        <w:t>제품 범위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2741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12283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27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Online</w:t>
            </w:r>
          </w:p>
        </w:tc>
        <w:tc>
          <w:tcPr>
            <w:tcW w:type="dxa" w:w="122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Web/Service/Persistence/Domain Invocation/Integration</w:t>
            </w:r>
          </w:p>
        </w:tc>
      </w:tr>
      <w:tr>
        <w:trPr>
          <w:cantSplit/>
        </w:trPr>
        <w:tc>
          <w:tcPr>
            <w:tcW w:type="dxa" w:w="27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Reliability</w:t>
            </w:r>
          </w:p>
        </w:tc>
        <w:tc>
          <w:tcPr>
            <w:tcW w:type="dxa" w:w="122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Idempotency/Retry/Timeout/UNKNOWN/Reconcile</w:t>
            </w:r>
          </w:p>
        </w:tc>
      </w:tr>
      <w:tr>
        <w:trPr>
          <w:cantSplit/>
        </w:trPr>
        <w:tc>
          <w:tcPr>
            <w:tcW w:type="dxa" w:w="27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Async</w:t>
            </w:r>
          </w:p>
        </w:tc>
        <w:tc>
          <w:tcPr>
            <w:tcW w:type="dxa" w:w="122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Messaging/Outbox/Inbox/DLQ/Replay</w:t>
            </w:r>
          </w:p>
        </w:tc>
      </w:tr>
      <w:tr>
        <w:trPr>
          <w:cantSplit/>
        </w:trPr>
        <w:tc>
          <w:tcPr>
            <w:tcW w:type="dxa" w:w="27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Batch</w:t>
            </w:r>
          </w:p>
        </w:tc>
        <w:tc>
          <w:tcPr>
            <w:tcW w:type="dxa" w:w="122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Job/Step/Control/Ledger/Lease/Fencing/Checkpoint</w:t>
            </w:r>
          </w:p>
        </w:tc>
      </w:tr>
      <w:tr>
        <w:trPr>
          <w:cantSplit/>
        </w:trPr>
        <w:tc>
          <w:tcPr>
            <w:tcW w:type="dxa" w:w="27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Data</w:t>
            </w:r>
          </w:p>
        </w:tc>
        <w:tc>
          <w:tcPr>
            <w:tcW w:type="dxa" w:w="122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JDBC/MyBatis/JPA/Cache/DB3</w:t>
            </w:r>
          </w:p>
        </w:tc>
      </w:tr>
      <w:tr>
        <w:trPr>
          <w:cantSplit/>
        </w:trPr>
        <w:tc>
          <w:tcPr>
            <w:tcW w:type="dxa" w:w="27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Security</w:t>
            </w:r>
          </w:p>
        </w:tc>
        <w:tc>
          <w:tcPr>
            <w:tcW w:type="dxa" w:w="122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Permission/Approval/Audit/Masking</w:t>
            </w:r>
          </w:p>
        </w:tc>
      </w:tr>
      <w:tr>
        <w:trPr>
          <w:cantSplit/>
        </w:trPr>
        <w:tc>
          <w:tcPr>
            <w:tcW w:type="dxa" w:w="27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Operations</w:t>
            </w:r>
          </w:p>
        </w:tc>
        <w:tc>
          <w:tcPr>
            <w:tcW w:type="dxa" w:w="122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ADM/Backoffice/Trace/Health/Recovery/Deployment</w:t>
            </w:r>
          </w:p>
        </w:tc>
      </w:tr>
      <w:tr>
        <w:trPr>
          <w:cantSplit/>
        </w:trPr>
        <w:tc>
          <w:tcPr>
            <w:tcW w:type="dxa" w:w="27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Generator</w:t>
            </w:r>
          </w:p>
        </w:tc>
        <w:tc>
          <w:tcPr>
            <w:tcW w:type="dxa" w:w="122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Domain/Starter/DB/OpenAPI/Sample</w:t>
            </w:r>
          </w:p>
        </w:tc>
      </w:tr>
    </w:tbl>
    <w:p>
      <w:pPr>
        <w:pStyle w:val="Heading1"/>
      </w:pPr>
      <w:r>
        <w:t>2 기술 Stack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실제 Source의 canonical stack properties를 기준으로 개발 환경을 맞춥니다.</w:t>
            </w:r>
          </w:p>
        </w:tc>
      </w:tr>
    </w:tbl>
    <w:p>
      <w:pPr>
        <w:pStyle w:val="CPFLabel"/>
      </w:pPr>
      <w:r>
        <w:t>Canonical Stack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5008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0017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버전/값</w:t>
            </w:r>
          </w:p>
        </w:tc>
      </w:tr>
      <w:tr>
        <w:trPr>
          <w:cantSplit/>
        </w:trPr>
        <w:tc>
          <w:tcPr>
            <w:tcW w:type="dxa" w:w="50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Java</w:t>
            </w:r>
          </w:p>
        </w:tc>
        <w:tc>
          <w:tcPr>
            <w:tcW w:type="dxa" w:w="100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25</w:t>
            </w:r>
          </w:p>
        </w:tc>
      </w:tr>
      <w:tr>
        <w:trPr>
          <w:cantSplit/>
        </w:trPr>
        <w:tc>
          <w:tcPr>
            <w:tcW w:type="dxa" w:w="50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Gradle</w:t>
            </w:r>
          </w:p>
        </w:tc>
        <w:tc>
          <w:tcPr>
            <w:tcW w:type="dxa" w:w="100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9.1.0</w:t>
            </w:r>
          </w:p>
        </w:tc>
      </w:tr>
      <w:tr>
        <w:trPr>
          <w:cantSplit/>
        </w:trPr>
        <w:tc>
          <w:tcPr>
            <w:tcW w:type="dxa" w:w="50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Spring Boot</w:t>
            </w:r>
          </w:p>
        </w:tc>
        <w:tc>
          <w:tcPr>
            <w:tcW w:type="dxa" w:w="100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4.1.0</w:t>
            </w:r>
          </w:p>
        </w:tc>
      </w:tr>
      <w:tr>
        <w:trPr>
          <w:cantSplit/>
        </w:trPr>
        <w:tc>
          <w:tcPr>
            <w:tcW w:type="dxa" w:w="50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Spring Dependency Management</w:t>
            </w:r>
          </w:p>
        </w:tc>
        <w:tc>
          <w:tcPr>
            <w:tcW w:type="dxa" w:w="100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1.1.7</w:t>
            </w:r>
          </w:p>
        </w:tc>
      </w:tr>
      <w:tr>
        <w:trPr>
          <w:cantSplit/>
        </w:trPr>
        <w:tc>
          <w:tcPr>
            <w:tcW w:type="dxa" w:w="50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Spring Cloud</w:t>
            </w:r>
          </w:p>
        </w:tc>
        <w:tc>
          <w:tcPr>
            <w:tcW w:type="dxa" w:w="100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2025.1.2</w:t>
            </w:r>
          </w:p>
        </w:tc>
      </w:tr>
      <w:tr>
        <w:trPr>
          <w:cantSplit/>
        </w:trPr>
        <w:tc>
          <w:tcPr>
            <w:tcW w:type="dxa" w:w="50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Spring Batch</w:t>
            </w:r>
          </w:p>
        </w:tc>
        <w:tc>
          <w:tcPr>
            <w:tcW w:type="dxa" w:w="100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6.0.4</w:t>
            </w:r>
          </w:p>
        </w:tc>
      </w:tr>
      <w:tr>
        <w:trPr>
          <w:cantSplit/>
        </w:trPr>
        <w:tc>
          <w:tcPr>
            <w:tcW w:type="dxa" w:w="50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MyBatis</w:t>
            </w:r>
          </w:p>
        </w:tc>
        <w:tc>
          <w:tcPr>
            <w:tcW w:type="dxa" w:w="100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3.5.19</w:t>
            </w:r>
          </w:p>
        </w:tc>
      </w:tr>
      <w:tr>
        <w:trPr>
          <w:cantSplit/>
        </w:trPr>
        <w:tc>
          <w:tcPr>
            <w:tcW w:type="dxa" w:w="50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springdoc</w:t>
            </w:r>
          </w:p>
        </w:tc>
        <w:tc>
          <w:tcPr>
            <w:tcW w:type="dxa" w:w="100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3.0.3</w:t>
            </w:r>
          </w:p>
        </w:tc>
      </w:tr>
      <w:tr>
        <w:trPr>
          <w:cantSplit/>
        </w:trPr>
        <w:tc>
          <w:tcPr>
            <w:tcW w:type="dxa" w:w="50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Servlet Spec</w:t>
            </w:r>
          </w:p>
        </w:tc>
        <w:tc>
          <w:tcPr>
            <w:tcW w:type="dxa" w:w="100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6.1</w:t>
            </w:r>
          </w:p>
        </w:tc>
      </w:tr>
    </w:tbl>
    <w:p>
      <w:pPr>
        <w:ind w:left="255" w:right="113"/>
      </w:pPr>
      <w:r>
        <w:t>Source: gradle/cpf-stack.properties</w:t>
      </w:r>
    </w:p>
    <w:p>
      <w:pPr>
        <w:pStyle w:val="Heading1"/>
      </w:pPr>
      <w:r>
        <w:t>3 Public Contract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일반 업무 개발자가 의존할 대표 API와 경계를 요약합니다.</w:t>
            </w:r>
          </w:p>
        </w:tc>
      </w:tr>
    </w:tbl>
    <w:p>
      <w:pPr>
        <w:pStyle w:val="CPFLabel"/>
      </w:pPr>
      <w:r>
        <w:t>대표 Public Contract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214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536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API/Annotation</w:t>
            </w:r>
          </w:p>
        </w:tc>
        <w:tc>
          <w:tcPr>
            <w:tcW w:type="dxa" w:w="751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책임</w:t>
            </w:r>
          </w:p>
        </w:tc>
      </w:tr>
      <w:tr>
        <w:trPr>
          <w:cantSplit/>
        </w:trPr>
        <w:tc>
          <w:tcPr>
            <w:tcW w:type="dxa" w:w="21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Web</w:t>
            </w:r>
          </w:p>
        </w:tc>
        <w:tc>
          <w:tcPr>
            <w:tcW w:type="dxa" w:w="53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@CpfController</w:t>
            </w:r>
          </w:p>
        </w:tc>
        <w:tc>
          <w:tcPr>
            <w:tcW w:type="dxa" w:w="7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업무 HTTP 진입</w:t>
            </w:r>
          </w:p>
        </w:tc>
      </w:tr>
      <w:tr>
        <w:trPr>
          <w:cantSplit/>
        </w:trPr>
        <w:tc>
          <w:tcPr>
            <w:tcW w:type="dxa" w:w="21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Service</w:t>
            </w:r>
          </w:p>
        </w:tc>
        <w:tc>
          <w:tcPr>
            <w:tcW w:type="dxa" w:w="53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@CpfService</w:t>
            </w:r>
          </w:p>
        </w:tc>
        <w:tc>
          <w:tcPr>
            <w:tcW w:type="dxa" w:w="7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업무 규칙</w:t>
            </w:r>
          </w:p>
        </w:tc>
      </w:tr>
      <w:tr>
        <w:trPr>
          <w:cantSplit/>
        </w:trPr>
        <w:tc>
          <w:tcPr>
            <w:tcW w:type="dxa" w:w="21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Persistence</w:t>
            </w:r>
          </w:p>
        </w:tc>
        <w:tc>
          <w:tcPr>
            <w:tcW w:type="dxa" w:w="53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@CpfRepository / @CpfTransactional / CpfCrudRepository</w:t>
            </w:r>
          </w:p>
        </w:tc>
        <w:tc>
          <w:tcPr>
            <w:tcW w:type="dxa" w:w="7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Local DB</w:t>
            </w:r>
          </w:p>
        </w:tc>
      </w:tr>
      <w:tr>
        <w:trPr>
          <w:cantSplit/>
        </w:trPr>
        <w:tc>
          <w:tcPr>
            <w:tcW w:type="dxa" w:w="21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Domain</w:t>
            </w:r>
          </w:p>
        </w:tc>
        <w:tc>
          <w:tcPr>
            <w:tcW w:type="dxa" w:w="53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CpfDomainClient / @CpfOnlineTransaction</w:t>
            </w:r>
          </w:p>
        </w:tc>
        <w:tc>
          <w:tcPr>
            <w:tcW w:type="dxa" w:w="7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CPF-owned Domain 호출/Operation</w:t>
            </w:r>
          </w:p>
        </w:tc>
      </w:tr>
      <w:tr>
        <w:trPr>
          <w:cantSplit/>
        </w:trPr>
        <w:tc>
          <w:tcPr>
            <w:tcW w:type="dxa" w:w="21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Integration</w:t>
            </w:r>
          </w:p>
        </w:tc>
        <w:tc>
          <w:tcPr>
            <w:tcW w:type="dxa" w:w="53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@CpfClient / @CpfTimeout / @CpfRetry</w:t>
            </w:r>
          </w:p>
        </w:tc>
        <w:tc>
          <w:tcPr>
            <w:tcW w:type="dxa" w:w="7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외부 연계</w:t>
            </w:r>
          </w:p>
        </w:tc>
      </w:tr>
      <w:tr>
        <w:trPr>
          <w:cantSplit/>
        </w:trPr>
        <w:tc>
          <w:tcPr>
            <w:tcW w:type="dxa" w:w="21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Reliability</w:t>
            </w:r>
          </w:p>
        </w:tc>
        <w:tc>
          <w:tcPr>
            <w:tcW w:type="dxa" w:w="53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@CpfIdempotent / CpfResult</w:t>
            </w:r>
          </w:p>
        </w:tc>
        <w:tc>
          <w:tcPr>
            <w:tcW w:type="dxa" w:w="7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중복/UNKNOWN</w:t>
            </w:r>
          </w:p>
        </w:tc>
      </w:tr>
      <w:tr>
        <w:trPr>
          <w:cantSplit/>
        </w:trPr>
        <w:tc>
          <w:tcPr>
            <w:tcW w:type="dxa" w:w="21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Security</w:t>
            </w:r>
          </w:p>
        </w:tc>
        <w:tc>
          <w:tcPr>
            <w:tcW w:type="dxa" w:w="53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@CpfPermission / @CpfApprovalRequired / @CpfAudit</w:t>
            </w:r>
          </w:p>
        </w:tc>
        <w:tc>
          <w:tcPr>
            <w:tcW w:type="dxa" w:w="7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권한/승인/감사</w:t>
            </w:r>
          </w:p>
        </w:tc>
      </w:tr>
      <w:tr>
        <w:trPr>
          <w:cantSplit/>
        </w:trPr>
        <w:tc>
          <w:tcPr>
            <w:tcW w:type="dxa" w:w="21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Async</w:t>
            </w:r>
          </w:p>
        </w:tc>
        <w:tc>
          <w:tcPr>
            <w:tcW w:type="dxa" w:w="53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@CpfMessageListener / CpfMessagingTemplate</w:t>
            </w:r>
          </w:p>
        </w:tc>
        <w:tc>
          <w:tcPr>
            <w:tcW w:type="dxa" w:w="7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메시징</w:t>
            </w:r>
          </w:p>
        </w:tc>
      </w:tr>
      <w:tr>
        <w:trPr>
          <w:cantSplit/>
        </w:trPr>
        <w:tc>
          <w:tcPr>
            <w:tcW w:type="dxa" w:w="21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Batch</w:t>
            </w:r>
          </w:p>
        </w:tc>
        <w:tc>
          <w:tcPr>
            <w:tcW w:type="dxa" w:w="53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@CpfBatchJob / @CpfBatchStep</w:t>
            </w:r>
          </w:p>
        </w:tc>
        <w:tc>
          <w:tcPr>
            <w:tcW w:type="dxa" w:w="7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Batch</w:t>
            </w:r>
          </w:p>
        </w:tc>
      </w:tr>
    </w:tbl>
    <w:p>
      <w:pPr>
        <w:pStyle w:val="Heading1"/>
      </w:pPr>
      <w:r>
        <w:t>4 Context · Identity · Operation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거래 식별과 Runtime 식별을 혼동하지 않습니다.</w:t>
            </w:r>
          </w:p>
        </w:tc>
      </w:tr>
    </w:tbl>
    <w:p>
      <w:pPr>
        <w:pStyle w:val="CPFLabel"/>
      </w:pPr>
      <w:r>
        <w:t>Identity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284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5583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정의</w:t>
            </w:r>
          </w:p>
        </w:tc>
        <w:tc>
          <w:tcPr>
            <w:tcW w:type="dxa" w:w="6599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전파</w:t>
            </w:r>
          </w:p>
        </w:tc>
      </w:tr>
      <w:tr>
        <w:trPr>
          <w:cantSplit/>
        </w:trPr>
        <w:tc>
          <w:tcPr>
            <w:tcW w:type="dxa" w:w="284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transactionId</w:t>
            </w:r>
          </w:p>
        </w:tc>
        <w:tc>
          <w:tcPr>
            <w:tcW w:type="dxa" w:w="55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거래 식별</w:t>
            </w:r>
          </w:p>
        </w:tc>
        <w:tc>
          <w:tcPr>
            <w:tcW w:type="dxa" w:w="659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System6</w:t>
            </w:r>
          </w:p>
        </w:tc>
      </w:tr>
      <w:tr>
        <w:trPr>
          <w:cantSplit/>
        </w:trPr>
        <w:tc>
          <w:tcPr>
            <w:tcW w:type="dxa" w:w="284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operationId</w:t>
            </w:r>
          </w:p>
        </w:tc>
        <w:tc>
          <w:tcPr>
            <w:tcW w:type="dxa" w:w="55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업무 Operation 단일 정본</w:t>
            </w:r>
          </w:p>
        </w:tc>
        <w:tc>
          <w:tcPr>
            <w:tcW w:type="dxa" w:w="659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Annotation/OpenAPI/Header/Client/ADM/Log</w:t>
            </w:r>
          </w:p>
        </w:tc>
      </w:tr>
      <w:tr>
        <w:trPr>
          <w:cantSplit/>
        </w:trPr>
        <w:tc>
          <w:tcPr>
            <w:tcW w:type="dxa" w:w="284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instanceId</w:t>
            </w:r>
          </w:p>
        </w:tc>
        <w:tc>
          <w:tcPr>
            <w:tcW w:type="dxa" w:w="55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현재 Runtime Instance</w:t>
            </w:r>
          </w:p>
        </w:tc>
        <w:tc>
          <w:tcPr>
            <w:tcW w:type="dxa" w:w="659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bootstrap 1회 확정, Header 미포함</w:t>
            </w:r>
          </w:p>
        </w:tc>
      </w:tr>
      <w:tr>
        <w:trPr>
          <w:cantSplit/>
        </w:trPr>
        <w:tc>
          <w:tcPr>
            <w:tcW w:type="dxa" w:w="284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systemCode</w:t>
            </w:r>
          </w:p>
        </w:tc>
        <w:tc>
          <w:tcPr>
            <w:tcW w:type="dxa" w:w="55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현재 System</w:t>
            </w:r>
          </w:p>
        </w:tc>
        <w:tc>
          <w:tcPr>
            <w:tcW w:type="dxa" w:w="659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System6 hop</w:t>
            </w:r>
          </w:p>
        </w:tc>
      </w:tr>
      <w:tr>
        <w:trPr>
          <w:cantSplit/>
        </w:trPr>
        <w:tc>
          <w:tcPr>
            <w:tcW w:type="dxa" w:w="284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originalSystemCode</w:t>
            </w:r>
          </w:p>
        </w:tc>
        <w:tc>
          <w:tcPr>
            <w:tcW w:type="dxa" w:w="55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최초 System</w:t>
            </w:r>
          </w:p>
        </w:tc>
        <w:tc>
          <w:tcPr>
            <w:tcW w:type="dxa" w:w="659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불변</w:t>
            </w:r>
          </w:p>
        </w:tc>
      </w:tr>
    </w:tbl>
    <w:p>
      <w:pPr>
        <w:pStyle w:val="Heading1"/>
      </w:pPr>
      <w:r>
        <w:t>5 지원 DB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공식 DB Vendor는 세 종류뿐입니다.</w:t>
            </w:r>
          </w:p>
        </w:tc>
      </w:tr>
    </w:tbl>
    <w:p>
      <w:pPr>
        <w:pStyle w:val="CPFLabel"/>
      </w:pPr>
      <w:r>
        <w:t>DB3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751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Vendor</w:t>
            </w:r>
          </w:p>
        </w:tc>
        <w:tc>
          <w:tcPr>
            <w:tcW w:type="dxa" w:w="751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상태</w:t>
            </w:r>
          </w:p>
        </w:tc>
      </w:tr>
      <w:tr>
        <w:trPr>
          <w:cantSplit/>
        </w:trPr>
        <w:tc>
          <w:tcPr>
            <w:tcW w:type="dxa" w:w="7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Oracle</w:t>
            </w:r>
          </w:p>
        </w:tc>
        <w:tc>
          <w:tcPr>
            <w:tcW w:type="dxa" w:w="7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공식</w:t>
            </w:r>
          </w:p>
        </w:tc>
      </w:tr>
      <w:tr>
        <w:trPr>
          <w:cantSplit/>
        </w:trPr>
        <w:tc>
          <w:tcPr>
            <w:tcW w:type="dxa" w:w="7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PostgreSQL</w:t>
            </w:r>
          </w:p>
        </w:tc>
        <w:tc>
          <w:tcPr>
            <w:tcW w:type="dxa" w:w="7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공식</w:t>
            </w:r>
          </w:p>
        </w:tc>
      </w:tr>
      <w:tr>
        <w:trPr>
          <w:cantSplit/>
        </w:trPr>
        <w:tc>
          <w:tcPr>
            <w:tcW w:type="dxa" w:w="7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MariaDB</w:t>
            </w:r>
          </w:p>
        </w:tc>
        <w:tc>
          <w:tcPr>
            <w:tcW w:type="dxa" w:w="7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공식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701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제외</w:t>
            </w:r>
          </w:p>
        </w:tc>
        <w:tc>
          <w:tcPr>
            <w:tcW w:type="dxa" w:w="11907"/>
            <w:shd w:fill="FFF4E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MySQL·MSSQL·H2를 공식 지원 Vendor나 Evidence 기준으로 사용하지 않습니다.</w:t>
            </w:r>
          </w:p>
        </w:tc>
      </w:tr>
    </w:tbl>
    <w:p>
      <w:pPr>
        <w:pStyle w:val="Heading1"/>
      </w:pPr>
      <w:r>
        <w:t>6 Topology와 Optionality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동일 JVM·분리 WAS·MSA에서 업무 계약은 유지하고 Transport만 바뀝니다.</w:t>
            </w:r>
          </w:p>
        </w:tc>
      </w:tr>
    </w:tbl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51545" cy="4584192"/>
            <wp:docPr id="1" name="Picture 1" descr="CPF topology-independent Architecture" title="CPF topology-independent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1545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Core/Public 계약을 유지하면서 Runtime topology와 선택형 Gateway/Backoffice를 분리합니다.</w:t>
      </w:r>
    </w:p>
    <w:p>
      <w:pPr>
        <w:pStyle w:val="CPFCaption"/>
        <w:spacing w:before="160"/>
      </w:pPr>
      <w:r>
        <w:t>근거: Source snapshot ZIP-SHA256:B47BCE7700700BF4의 Public 계약과 CPF 정본 문서. Source에 없는 API·옵션은 작성하지 않음.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737" w:right="794" w:bottom="794" w:left="79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Specification 기술 명세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6" w:line="283" w:lineRule="auto"/>
    </w:pPr>
    <w:rPr>
      <w:rFonts w:ascii="Noto Sans KR" w:hAnsi="Noto Sans KR" w:eastAsia="Noto Sans KR"/>
      <w:color w:val="24354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0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4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7154C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