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880"/>
      </w:tblGrid>
      <w:tr>
        <w:tc>
          <w:tcPr>
            <w:tcW w:type="dxa" w:w="10880"/>
            <w:shd w:fill="0B2137"/>
            <w:tcMar>
              <w:top w:w="220" w:type="dxa"/>
              <w:start w:w="260" w:type="dxa"/>
              <w:bottom w:w="220" w:type="dxa"/>
              <w:end w:w="260" w:type="dxa"/>
            </w:tcMar>
          </w:tcPr>
          <w:p>
            <w:r>
              <w:rPr>
                <w:rFonts w:ascii="Noto Sans CJK KR" w:hAnsi="Noto Sans CJK KR"/>
                <w:b/>
                <w:color w:val="FFFFFF"/>
                <w:sz w:val="28"/>
              </w:rPr>
              <w:t>CPF  |  Core Platform Framework</w:t>
            </w:r>
          </w:p>
          <w:p>
            <w:pPr>
              <w:spacing w:before="80" w:after="0"/>
            </w:pPr>
            <w:r>
              <w:rPr>
                <w:rFonts w:ascii="Noto Sans CJK KR" w:hAnsi="Noto Sans CJK KR"/>
                <w:color w:val="CFE2F5"/>
                <w:sz w:val="19"/>
              </w:rPr>
              <w:t>Business Platform Documentation</w:t>
            </w:r>
          </w:p>
        </w:tc>
        <w:trPr>
          <w:tblHeader/>
        </w:trPr>
      </w:tr>
    </w:tbl>
    <w:p>
      <w:pPr>
        <w:pStyle w:val="Title"/>
        <w:spacing w:before="680"/>
      </w:pPr>
      <w:r>
        <w:t>CPF 데이터베이스표준서</w:t>
      </w:r>
    </w:p>
    <w:p>
      <w:pPr>
        <w:pStyle w:val="Subtitle"/>
        <w:spacing w:after="440"/>
      </w:pPr>
      <w:r>
        <w:t>Oracle·PostgreSQL·MariaDB의 Canonical Schema와 Migration·Rollback·Runtime 검증 기준을 정의합니다.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440"/>
        <w:gridCol w:w="5440"/>
      </w:tblGrid>
      <w:tr>
        <w:tc>
          <w:tcPr>
            <w:tcW w:type="dxa" w:w="2154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/>
                <w:b/>
                <w:sz w:val="18"/>
              </w:rPr>
              <w:t>문서 기준</w:t>
            </w:r>
          </w:p>
        </w:tc>
        <w:tc>
          <w:tcPr>
            <w:tcW w:type="dxa" w:w="737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/>
                <w:sz w:val="18"/>
              </w:rPr>
              <w:t>Documentation Harness v2.1.0</w:t>
            </w:r>
          </w:p>
        </w:tc>
        <w:trPr>
          <w:tblHeader/>
        </w:trPr>
      </w:tr>
      <w:tr>
        <w:tc>
          <w:tcPr>
            <w:tcW w:type="dxa" w:w="2154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/>
                <w:b/>
                <w:sz w:val="18"/>
              </w:rPr>
              <w:t>기준 Source</w:t>
            </w:r>
          </w:p>
        </w:tc>
        <w:tc>
          <w:tcPr>
            <w:tcW w:type="dxa" w:w="737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/>
                <w:sz w:val="18"/>
              </w:rPr>
              <w:t>master 054d894b47f4be8323439dc6f9e58b7d8b60fe54</w:t>
            </w:r>
          </w:p>
        </w:tc>
      </w:tr>
      <w:tr>
        <w:tc>
          <w:tcPr>
            <w:tcW w:type="dxa" w:w="2154"/>
            <w:shd w:fill="F4F7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/>
                <w:b/>
                <w:sz w:val="18"/>
              </w:rPr>
              <w:t>기준일</w:t>
            </w:r>
          </w:p>
        </w:tc>
        <w:tc>
          <w:tcPr>
            <w:tcW w:type="dxa" w:w="737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/>
                <w:sz w:val="18"/>
              </w:rPr>
              <w:t>2026-08-26</w:t>
            </w:r>
          </w:p>
        </w:tc>
      </w:tr>
    </w:tbl>
    <w:p>
      <w:pPr>
        <w:pStyle w:val="Subtitle"/>
      </w:pPr>
      <w:r>
        <w:t>이 문서는 최신 Source의 공개 계약과 운영 경계를 기준으로 작성하며, 실행하지 않은 검증을 성공으로 기록하지 않습니다.</w:t>
      </w:r>
    </w:p>
    <w:p>
      <w:r>
        <w:br w:type="page"/>
      </w:r>
    </w:p>
    <w:p>
      <w:pPr>
        <w:pStyle w:val="Title"/>
      </w:pPr>
      <w:r>
        <w:t>목차</w:t>
      </w:r>
    </w:p>
    <w:p>
      <w:pPr>
        <w:pStyle w:val="Subtitle"/>
      </w:pPr>
      <w:r>
        <w:t>역할과 질문을 기준으로 필요한 절을 빠르게 찾습니다.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440"/>
        <w:gridCol w:w="5440"/>
      </w:tblGrid>
      <w:tr>
        <w:tc>
          <w:tcPr>
            <w:tcW w:type="dxa" w:w="5440"/>
            <w:tcMar>
              <w:top w:w="0" w:type="dxa"/>
              <w:start w:w="0" w:type="dxa"/>
              <w:bottom w:w="0" w:type="dxa"/>
              <w:end w:w="13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pStyle w:val="TOC1"/>
              <w:spacing w:after="28"/>
            </w:pPr>
            <w:r/>
            <w:r>
              <w:t>1. DB3 적용 범위</w:t>
            </w:r>
          </w:p>
          <w:p>
            <w:pPr>
              <w:pStyle w:val="TOC2"/>
              <w:spacing w:after="12"/>
            </w:pPr>
            <w:r>
              <w:t>1.1 Oracle·PostgreSQL·MariaDB</w:t>
            </w:r>
          </w:p>
          <w:p>
            <w:pPr>
              <w:pStyle w:val="TOC2"/>
              <w:spacing w:after="12"/>
            </w:pPr>
            <w:r>
              <w:t>1.2 Canonical DB Source</w:t>
            </w:r>
          </w:p>
          <w:p>
            <w:pPr>
              <w:pStyle w:val="TOC2"/>
              <w:spacing w:after="12"/>
            </w:pPr>
            <w:r>
              <w:t>1.3 Vendor 차이 원칙</w:t>
            </w:r>
          </w:p>
          <w:p>
            <w:pPr>
              <w:pStyle w:val="TOC1"/>
              <w:spacing w:after="28"/>
            </w:pPr>
            <w:r>
              <w:t>2. Naming·Schema·Table·Column</w:t>
            </w:r>
          </w:p>
          <w:p>
            <w:pPr>
              <w:pStyle w:val="TOC2"/>
              <w:spacing w:after="12"/>
            </w:pPr>
            <w:r>
              <w:t>2.1 Naming</w:t>
            </w:r>
          </w:p>
          <w:p>
            <w:pPr>
              <w:pStyle w:val="TOC2"/>
              <w:spacing w:after="12"/>
            </w:pPr>
            <w:r>
              <w:t>2.2 Schema</w:t>
            </w:r>
          </w:p>
          <w:p>
            <w:pPr>
              <w:pStyle w:val="TOC2"/>
              <w:spacing w:after="12"/>
            </w:pPr>
            <w:r>
              <w:t>2.3 Table/Column</w:t>
            </w:r>
          </w:p>
          <w:p>
            <w:pPr>
              <w:pStyle w:val="TOC1"/>
              <w:spacing w:after="28"/>
            </w:pPr>
            <w:r>
              <w:t>3. Datatype·Key·Constraint</w:t>
            </w:r>
          </w:p>
          <w:p>
            <w:pPr>
              <w:pStyle w:val="TOC2"/>
              <w:spacing w:after="12"/>
            </w:pPr>
            <w:r>
              <w:t>3.1 Datatype</w:t>
            </w:r>
          </w:p>
          <w:p>
            <w:pPr>
              <w:pStyle w:val="TOC2"/>
              <w:spacing w:after="12"/>
            </w:pPr>
            <w:r>
              <w:t>3.2 PK/FK</w:t>
            </w:r>
          </w:p>
          <w:p>
            <w:pPr>
              <w:pStyle w:val="TOC2"/>
              <w:spacing w:after="12"/>
            </w:pPr>
            <w:r>
              <w:t>3.3 Unique/Check</w:t>
            </w:r>
          </w:p>
          <w:p>
            <w:pPr>
              <w:pStyle w:val="TOC1"/>
              <w:spacing w:after="28"/>
            </w:pPr>
            <w:r>
              <w:t>4. Index·Identity</w:t>
            </w:r>
          </w:p>
          <w:p>
            <w:pPr>
              <w:pStyle w:val="TOC2"/>
              <w:spacing w:after="12"/>
            </w:pPr>
            <w:r>
              <w:t>4.1 Index</w:t>
            </w:r>
          </w:p>
          <w:p>
            <w:pPr>
              <w:pStyle w:val="TOC2"/>
              <w:spacing w:after="12"/>
            </w:pPr>
            <w:r>
              <w:t>4.2 Sequence/Identity</w:t>
            </w:r>
          </w:p>
          <w:p>
            <w:pPr>
              <w:pStyle w:val="TOC1"/>
              <w:spacing w:after="28"/>
            </w:pPr>
            <w:r>
              <w:t>5. Audit·Lock·Batch Claim</w:t>
            </w:r>
          </w:p>
          <w:p>
            <w:pPr>
              <w:pStyle w:val="TOC2"/>
              <w:spacing w:after="12"/>
            </w:pPr>
            <w:r>
              <w:t>5.1 Audit/History</w:t>
            </w:r>
          </w:p>
          <w:p>
            <w:pPr>
              <w:pStyle w:val="TOC2"/>
              <w:spacing w:after="12"/>
            </w:pPr>
            <w:r>
              <w:t>5.2 Lock/Concurrency</w:t>
            </w:r>
          </w:p>
          <w:p>
            <w:pPr>
              <w:pStyle w:val="TOC2"/>
              <w:spacing w:after="12"/>
            </w:pPr>
            <w:r>
              <w:t>5.3 Batch Claim</w:t>
            </w:r>
          </w:p>
        </w:tc>
        <w:tc>
          <w:tcPr>
            <w:tcW w:type="dxa" w:w="5440"/>
            <w:tcMar>
              <w:top w:w="0" w:type="dxa"/>
              <w:start w:w="0" w:type="dxa"/>
              <w:bottom w:w="0" w:type="dxa"/>
              <w:end w:w="13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pStyle w:val="TOC1"/>
              <w:spacing w:after="28"/>
            </w:pPr>
            <w:r/>
            <w:r>
              <w:t>6. Fresh Init·Migration·Seed</w:t>
            </w:r>
          </w:p>
          <w:p>
            <w:pPr>
              <w:pStyle w:val="TOC2"/>
              <w:spacing w:after="12"/>
            </w:pPr>
            <w:r>
              <w:t>6.1 Fresh Initialization</w:t>
            </w:r>
          </w:p>
          <w:p>
            <w:pPr>
              <w:pStyle w:val="TOC2"/>
              <w:spacing w:after="12"/>
            </w:pPr>
            <w:r>
              <w:t>6.2 Migration</w:t>
            </w:r>
          </w:p>
          <w:p>
            <w:pPr>
              <w:pStyle w:val="TOC2"/>
              <w:spacing w:after="12"/>
            </w:pPr>
            <w:r>
              <w:t>6.3 Seed</w:t>
            </w:r>
          </w:p>
          <w:p>
            <w:pPr>
              <w:pStyle w:val="TOC1"/>
              <w:spacing w:after="28"/>
            </w:pPr>
            <w:r>
              <w:t>7. Upgrade·Rollback·Recovery</w:t>
            </w:r>
          </w:p>
          <w:p>
            <w:pPr>
              <w:pStyle w:val="TOC2"/>
              <w:spacing w:after="12"/>
            </w:pPr>
            <w:r>
              <w:t>7.1 Upgrade</w:t>
            </w:r>
          </w:p>
          <w:p>
            <w:pPr>
              <w:pStyle w:val="TOC2"/>
              <w:spacing w:after="12"/>
            </w:pPr>
            <w:r>
              <w:t>7.2 Rollback/Recovery</w:t>
            </w:r>
          </w:p>
          <w:p>
            <w:pPr>
              <w:pStyle w:val="TOC1"/>
              <w:spacing w:after="28"/>
            </w:pPr>
            <w:r>
              <w:t>8. Runtime Query·Performance</w:t>
            </w:r>
          </w:p>
          <w:p>
            <w:pPr>
              <w:pStyle w:val="TOC2"/>
              <w:spacing w:after="12"/>
            </w:pPr>
            <w:r>
              <w:t>8.1 Runtime Query</w:t>
            </w:r>
          </w:p>
          <w:p>
            <w:pPr>
              <w:pStyle w:val="TOC2"/>
              <w:spacing w:after="12"/>
            </w:pPr>
            <w:r>
              <w:t>8.2 Performance</w:t>
            </w:r>
          </w:p>
          <w:p>
            <w:pPr>
              <w:pStyle w:val="TOC2"/>
              <w:spacing w:after="12"/>
            </w:pPr>
            <w:r>
              <w:t>8.3 Lock/Query 영향</w:t>
            </w:r>
          </w:p>
          <w:p>
            <w:pPr>
              <w:pStyle w:val="TOC1"/>
              <w:spacing w:after="28"/>
            </w:pPr>
            <w:r>
              <w:t>9. Schema Mismatch·Generator Binding</w:t>
            </w:r>
          </w:p>
          <w:p>
            <w:pPr>
              <w:pStyle w:val="TOC2"/>
              <w:spacing w:after="12"/>
            </w:pPr>
            <w:r>
              <w:t>9.1 Schema Mismatch</w:t>
            </w:r>
          </w:p>
          <w:p>
            <w:pPr>
              <w:pStyle w:val="TOC2"/>
              <w:spacing w:after="12"/>
            </w:pPr>
            <w:r>
              <w:t>9.2 Generator/DB Binding</w:t>
            </w:r>
          </w:p>
          <w:p>
            <w:pPr>
              <w:pStyle w:val="TOC2"/>
              <w:spacing w:after="12"/>
            </w:pPr>
            <w:r>
              <w:t>9.3 Vendor Difference</w:t>
            </w:r>
          </w:p>
          <w:p>
            <w:pPr>
              <w:pStyle w:val="TOC1"/>
              <w:spacing w:after="28"/>
            </w:pPr>
            <w:r>
              <w:t>10. Validation·Evidence</w:t>
            </w:r>
          </w:p>
          <w:p>
            <w:pPr>
              <w:pStyle w:val="TOC2"/>
              <w:spacing w:after="12"/>
            </w:pPr>
            <w:r>
              <w:t>10.1 검증 항목</w:t>
            </w:r>
          </w:p>
          <w:p>
            <w:pPr>
              <w:pStyle w:val="TOC2"/>
              <w:spacing w:after="12"/>
            </w:pPr>
            <w:r>
              <w:t>10.2 Runtime Evidence</w:t>
            </w:r>
          </w:p>
          <w:p>
            <w:pPr>
              <w:pStyle w:val="TOC2"/>
              <w:spacing w:after="12"/>
            </w:pPr>
            <w:r>
              <w:t>10.3 Rollback/Recovery Evidence</w:t>
            </w:r>
          </w:p>
        </w:tc>
        <w:trPr>
          <w:tblHeader/>
        </w:trPr>
      </w:tr>
    </w:tbl>
    <w:p>
      <w:r>
        <w:br w:type="page"/>
      </w:r>
    </w:p>
    <w:p>
      <w:pPr>
        <w:pStyle w:val="Heading1"/>
        <w:keepNext/>
        <w:keepLines/>
        <w:widowControl/>
      </w:pPr>
      <w:r>
        <w:t>1. DB3 적용 범위</w:t>
      </w:r>
    </w:p>
    <w:p>
      <w:pPr>
        <w:pStyle w:val="FigureCaption"/>
        <w:jc w:val="left"/>
        <w:keepNext/>
        <w:keepLines/>
        <w:widowControl/>
      </w:pPr>
      <w:r>
        <w:t>그림 1-1. DB3 Canonical Lifecycle</w:t>
      </w:r>
    </w:p>
    <w:p>
      <w:pPr>
        <w:spacing w:after="40"/>
        <w:jc w:val="center"/>
        <w:keepNext/>
        <w:keepLines/>
        <w:widowControl/>
      </w:pPr>
      <w:r>
        <w:drawing>
          <wp:inline xmlns:a="http://schemas.openxmlformats.org/drawingml/2006/main" xmlns:pic="http://schemas.openxmlformats.org/drawingml/2006/picture">
            <wp:extent cx="6408000" cy="3204000"/>
            <wp:docPr id="1" name="Picture 1" descr="그림 1-1. DB3 Canonical Lifecycle - Canonical Source에서 Oracle·PostgreSQL·MariaDB와 Migration·Rollback·Evidence까지 연결합니다." title="그림 1-1. DB3 Canonical Lifecycl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b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8000" cy="320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Explain"/>
        <w:keepLines/>
        <w:widowControl/>
      </w:pPr>
      <w:r>
        <w:t>Canonical Source에서 Oracle·PostgreSQL·MariaDB와 Migration·Rollback·Evidence까지 연결합니다.</w:t>
      </w:r>
    </w:p>
    <w:p>
      <w:pPr>
        <w:pStyle w:val="Heading2"/>
        <w:keepNext/>
        <w:keepLines/>
        <w:widowControl/>
      </w:pPr>
      <w:r>
        <w:t>1.1 Oracle·PostgreSQL·MariaDB</w:t>
      </w:r>
    </w:p>
    <w:p>
      <w:pPr>
        <w:pStyle w:val="BodyRail"/>
      </w:pPr>
      <w:r>
        <w:t>CPF의 공식 DB Vendor는 Oracle, PostgreSQL, MariaDB입니다. 하나의 Canonical DB 의미를 기준으로 Vendor별 DDL·runtime query 차이를 명시적으로 render/검증합니다.</w:t>
      </w:r>
    </w:p>
    <w:p>
      <w:pPr>
        <w:pStyle w:val="BodyRail"/>
      </w:pPr>
      <w:r>
        <w:t>공식 DB Vendor는 Oracle·PostgreSQL·MariaDB만 사용하며 세 Vendor의 DDL·Migration·Rollback·Runtime 동작을 함께 검증합니다.</w:t>
      </w:r>
    </w:p>
    <w:p>
      <w:pPr>
        <w:pStyle w:val="BulletRail"/>
      </w:pPr>
      <w:r>
        <w:t>•  Vendor 차이는 datatype·identity·locking·DDL syntax처럼 실제 동작 차이가 있는 지점에서만 분기합니다.</w:t>
      </w:r>
    </w:p>
    <w:p>
      <w:pPr>
        <w:pStyle w:val="Heading2"/>
        <w:keepNext/>
        <w:keepLines/>
        <w:widowControl/>
      </w:pPr>
      <w:r>
        <w:t>1.2 Canonical DB Source</w:t>
      </w:r>
    </w:p>
    <w:p>
      <w:pPr>
        <w:pStyle w:val="BodyRail"/>
      </w:pPr>
      <w:r>
        <w:t>Canonical DB Source는 schema, table, column, constraint, index와 seed 의미의 단일 정본입니다. Oracle·PostgreSQL·MariaDB DDL은 이 정의에서 파생되어야 합니다.</w:t>
      </w:r>
    </w:p>
    <w:p>
      <w:pPr>
        <w:pStyle w:val="Heading2"/>
        <w:keepNext/>
        <w:keepLines/>
        <w:widowControl/>
      </w:pPr>
      <w:r>
        <w:t>1.3 Vendor 차이 원칙</w:t>
      </w:r>
    </w:p>
    <w:p>
      <w:pPr>
        <w:pStyle w:val="BodyRail"/>
      </w:pPr>
      <w:r>
        <w:t>Vendor 차이는 datatype, identity, locking, DDL syntax처럼 실제 동작이 다른 지점에만 둡니다. Vendor별 편의 때문에 Canonical 업무 의미를 분기하지 않습니다.</w:t>
      </w:r>
    </w:p>
    <w:p>
      <w:pPr>
        <w:pStyle w:val="BodyRail"/>
      </w:pPr>
      <w:r>
        <w:t>Vendor 차이는 datatype, identity, locking, DDL syntax처럼 실제 동작 차이가 있는 부분에 한정하고 업무 의미를 Vendor별로 갈라놓지 않습니다.</w:t>
      </w:r>
    </w:p>
    <w:p>
      <w:pPr>
        <w:pStyle w:val="BodyRail"/>
      </w:pPr>
      <w:r>
        <w:t>Canonical 의미를 유지하면서 Vendor별로 달라져야 하는 datatype·identity·DDL 지점만 비교합니다.</w:t>
      </w:r>
    </w:p>
    <w:p>
      <w:pPr>
        <w:pStyle w:val="TableTitle"/>
        <w:keepNext/>
        <w:keepLines/>
        <w:widowControl/>
      </w:pPr>
      <w:r>
        <w:t>표 1-1. 항목 / Oracle / PostgreSQL / MariaDB</w:t>
      </w:r>
    </w:p>
    <w:p>
      <w:pPr>
        <w:pStyle w:val="TablePurpose"/>
        <w:keepNext/>
        <w:keepLines/>
        <w:widowControl/>
      </w:pPr>
      <w:r>
        <w:t>비교·선택·확인에 필요한 항목만 압축해 정리합니다.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720"/>
        <w:gridCol w:w="2720"/>
        <w:gridCol w:w="2720"/>
        <w:gridCol w:w="2720"/>
      </w:tblGrid>
      <w:tr>
        <w:trPr>
          <w:cantSplit/>
          <w:tblHeader w:val="true"/>
        </w:trPr>
        <w:tc>
          <w:tcPr>
            <w:tcW w:type="dxa" w:w="27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17324D"/>
          </w:tcPr>
          <w:p>
            <w:r>
              <w:rPr>
                <w:rFonts w:ascii="Noto Sans CJK KR" w:hAnsi="Noto Sans CJK KR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27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17324D"/>
          </w:tcPr>
          <w:p>
            <w:r>
              <w:rPr>
                <w:rFonts w:ascii="Noto Sans CJK KR" w:hAnsi="Noto Sans CJK KR"/>
                <w:b/>
                <w:color w:val="FFFFFF"/>
                <w:sz w:val="17"/>
              </w:rPr>
              <w:t>Oracle</w:t>
            </w:r>
          </w:p>
        </w:tc>
        <w:tc>
          <w:tcPr>
            <w:tcW w:type="dxa" w:w="27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17324D"/>
          </w:tcPr>
          <w:p>
            <w:r>
              <w:rPr>
                <w:rFonts w:ascii="Noto Sans CJK KR" w:hAnsi="Noto Sans CJK KR"/>
                <w:b/>
                <w:color w:val="FFFFFF"/>
                <w:sz w:val="17"/>
              </w:rPr>
              <w:t>PostgreSQL</w:t>
            </w:r>
          </w:p>
        </w:tc>
        <w:tc>
          <w:tcPr>
            <w:tcW w:type="dxa" w:w="27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17324D"/>
          </w:tcPr>
          <w:p>
            <w:r>
              <w:rPr>
                <w:rFonts w:ascii="Noto Sans CJK KR" w:hAnsi="Noto Sans CJK KR"/>
                <w:b/>
                <w:color w:val="FFFFFF"/>
                <w:sz w:val="17"/>
              </w:rPr>
              <w:t>MariaDB</w:t>
            </w:r>
          </w:p>
        </w:tc>
      </w:tr>
      <w:tr>
        <w:trPr>
          <w:cantSplit/>
        </w:trPr>
        <w:tc>
          <w:tcPr>
            <w:tcW w:type="dxa" w:w="27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4F7FA"/>
          </w:tcPr>
          <w:p>
            <w:pPr>
              <w:spacing w:after="0" w:line="252" w:lineRule="auto"/>
            </w:pPr>
            <w:r>
              <w:rPr>
                <w:rFonts w:ascii="Noto Sans CJK KR" w:hAnsi="Noto Sans CJK KR"/>
                <w:color w:val="202124"/>
                <w:sz w:val="17"/>
              </w:rPr>
              <w:t>공식 지원</w:t>
            </w:r>
          </w:p>
        </w:tc>
        <w:tc>
          <w:tcPr>
            <w:tcW w:type="dxa" w:w="27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KR" w:hAnsi="Noto Sans CJK KR"/>
                <w:color w:val="202124"/>
                <w:sz w:val="17"/>
              </w:rPr>
              <w:t>지원</w:t>
            </w:r>
          </w:p>
        </w:tc>
        <w:tc>
          <w:tcPr>
            <w:tcW w:type="dxa" w:w="27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KR" w:hAnsi="Noto Sans CJK KR"/>
                <w:color w:val="202124"/>
                <w:sz w:val="17"/>
              </w:rPr>
              <w:t>지원</w:t>
            </w:r>
          </w:p>
        </w:tc>
        <w:tc>
          <w:tcPr>
            <w:tcW w:type="dxa" w:w="27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KR" w:hAnsi="Noto Sans CJK KR"/>
                <w:color w:val="202124"/>
                <w:sz w:val="17"/>
              </w:rPr>
              <w:t>지원</w:t>
            </w:r>
          </w:p>
        </w:tc>
      </w:tr>
      <w:tr>
        <w:trPr>
          <w:cantSplit/>
        </w:trPr>
        <w:tc>
          <w:tcPr>
            <w:tcW w:type="dxa" w:w="27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4F7FA"/>
          </w:tcPr>
          <w:p>
            <w:pPr>
              <w:spacing w:after="0" w:line="252" w:lineRule="auto"/>
            </w:pPr>
            <w:r>
              <w:rPr>
                <w:rFonts w:ascii="Noto Sans CJK KR" w:hAnsi="Noto Sans CJK KR"/>
                <w:color w:val="202124"/>
                <w:sz w:val="17"/>
              </w:rPr>
              <w:t>Canonical 의미</w:t>
            </w:r>
          </w:p>
        </w:tc>
        <w:tc>
          <w:tcPr>
            <w:tcW w:type="dxa" w:w="27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KR" w:hAnsi="Noto Sans CJK KR"/>
                <w:color w:val="202124"/>
                <w:sz w:val="17"/>
              </w:rPr>
              <w:t>공통</w:t>
            </w:r>
          </w:p>
        </w:tc>
        <w:tc>
          <w:tcPr>
            <w:tcW w:type="dxa" w:w="27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KR" w:hAnsi="Noto Sans CJK KR"/>
                <w:color w:val="202124"/>
                <w:sz w:val="17"/>
              </w:rPr>
              <w:t>공통</w:t>
            </w:r>
          </w:p>
        </w:tc>
        <w:tc>
          <w:tcPr>
            <w:tcW w:type="dxa" w:w="27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KR" w:hAnsi="Noto Sans CJK KR"/>
                <w:color w:val="202124"/>
                <w:sz w:val="17"/>
              </w:rPr>
              <w:t>공통</w:t>
            </w:r>
          </w:p>
        </w:tc>
      </w:tr>
      <w:tr>
        <w:trPr>
          <w:cantSplit/>
        </w:trPr>
        <w:tc>
          <w:tcPr>
            <w:tcW w:type="dxa" w:w="27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4F7FA"/>
          </w:tcPr>
          <w:p>
            <w:pPr>
              <w:spacing w:after="0" w:line="252" w:lineRule="auto"/>
            </w:pPr>
            <w:r>
              <w:rPr>
                <w:rFonts w:ascii="Noto Sans CJK KR" w:hAnsi="Noto Sans CJK KR"/>
                <w:color w:val="202124"/>
                <w:sz w:val="17"/>
              </w:rPr>
              <w:t>Vendor Render</w:t>
            </w:r>
          </w:p>
        </w:tc>
        <w:tc>
          <w:tcPr>
            <w:tcW w:type="dxa" w:w="27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KR" w:hAnsi="Noto Sans CJK KR"/>
                <w:color w:val="202124"/>
                <w:sz w:val="17"/>
              </w:rPr>
              <w:t>oracle</w:t>
            </w:r>
          </w:p>
        </w:tc>
        <w:tc>
          <w:tcPr>
            <w:tcW w:type="dxa" w:w="27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KR" w:hAnsi="Noto Sans CJK KR"/>
                <w:color w:val="202124"/>
                <w:sz w:val="17"/>
              </w:rPr>
              <w:t>postgresql</w:t>
            </w:r>
          </w:p>
        </w:tc>
        <w:tc>
          <w:tcPr>
            <w:tcW w:type="dxa" w:w="27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KR" w:hAnsi="Noto Sans CJK KR"/>
                <w:color w:val="202124"/>
                <w:sz w:val="17"/>
              </w:rPr>
              <w:t>mariadb</w:t>
            </w:r>
          </w:p>
        </w:tc>
      </w:tr>
      <w:tr>
        <w:trPr>
          <w:cantSplit/>
        </w:trPr>
        <w:tc>
          <w:tcPr>
            <w:tcW w:type="dxa" w:w="27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4F7FA"/>
          </w:tcPr>
          <w:p>
            <w:pPr>
              <w:spacing w:after="0" w:line="252" w:lineRule="auto"/>
            </w:pPr>
            <w:r>
              <w:rPr>
                <w:rFonts w:ascii="Noto Sans CJK KR" w:hAnsi="Noto Sans CJK KR"/>
                <w:color w:val="202124"/>
                <w:sz w:val="17"/>
              </w:rPr>
              <w:t>검증</w:t>
            </w:r>
          </w:p>
        </w:tc>
        <w:tc>
          <w:tcPr>
            <w:tcW w:type="dxa" w:w="27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KR" w:hAnsi="Noto Sans CJK KR"/>
                <w:color w:val="202124"/>
                <w:sz w:val="17"/>
              </w:rPr>
              <w:t>DDL·Runtime</w:t>
            </w:r>
          </w:p>
        </w:tc>
        <w:tc>
          <w:tcPr>
            <w:tcW w:type="dxa" w:w="27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KR" w:hAnsi="Noto Sans CJK KR"/>
                <w:color w:val="202124"/>
                <w:sz w:val="17"/>
              </w:rPr>
              <w:t>DDL·Runtime</w:t>
            </w:r>
          </w:p>
        </w:tc>
        <w:tc>
          <w:tcPr>
            <w:tcW w:type="dxa" w:w="27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KR" w:hAnsi="Noto Sans CJK KR"/>
                <w:color w:val="202124"/>
                <w:sz w:val="17"/>
              </w:rPr>
              <w:t>DDL·Runtime</w:t>
            </w:r>
          </w:p>
        </w:tc>
      </w:tr>
    </w:tbl>
    <w:p/>
    <w:p>
      <w:pPr>
        <w:pStyle w:val="SourceRail"/>
      </w:pPr>
      <w:r>
        <w:t>Source 길찾기 cpf-tools/db/vendor/oracle</w:t>
      </w:r>
    </w:p>
    <w:p>
      <w:pPr>
        <w:pStyle w:val="Heading1"/>
        <w:keepNext/>
        <w:keepLines/>
        <w:widowControl/>
      </w:pPr>
      <w:r>
        <w:t>2. Naming·Schema·Table·Column</w:t>
      </w:r>
    </w:p>
    <w:p>
      <w:pPr>
        <w:pStyle w:val="Heading2"/>
        <w:keepNext/>
        <w:keepLines/>
        <w:widowControl/>
      </w:pPr>
      <w:r>
        <w:t>2.1 Naming</w:t>
      </w:r>
    </w:p>
    <w:p>
      <w:pPr>
        <w:pStyle w:val="BodyRail"/>
      </w:pPr>
      <w:r>
        <w:t>DB Object는 Canonical naming과 데이터 의미를 우선하고 Vendor별 물리 표현은 renderer가 담당합니다. Key/Constraint는 데이터 무결성을 Application 코드에만 의존하지 않게 정의합니다.</w:t>
      </w:r>
    </w:p>
    <w:p>
      <w:pPr>
        <w:pStyle w:val="BulletRail"/>
      </w:pPr>
      <w:r>
        <w:t>•  Table/Column 이름은 역할이 드러나는 일관된 규칙을 사용합니다.</w:t>
      </w:r>
    </w:p>
    <w:p>
      <w:pPr>
        <w:pStyle w:val="BulletRail"/>
      </w:pPr>
      <w:r>
        <w:t>•  FK·Unique·Check의 운영 영향과 migration 순서를 함께 검토합니다.</w:t>
      </w:r>
    </w:p>
    <w:p>
      <w:pPr>
        <w:pStyle w:val="Heading2"/>
        <w:keepNext/>
        <w:keepLines/>
        <w:widowControl/>
      </w:pPr>
      <w:r>
        <w:t>2.2 Schema</w:t>
      </w:r>
    </w:p>
    <w:p>
      <w:pPr>
        <w:pStyle w:val="BodyRail"/>
      </w:pPr>
      <w:r>
        <w:t>Schema는 DB Owner와 lifecycle 경계를 표현합니다. Fresh Init, Migration, Upgrade에서 동일한 Owner 기준을 유지하고 업무 Domain 원장을 다른 Module이 직접 소유하지 않습니다.</w:t>
      </w:r>
    </w:p>
    <w:p>
      <w:pPr>
        <w:pStyle w:val="Heading2"/>
        <w:keepNext/>
        <w:keepLines/>
        <w:widowControl/>
      </w:pPr>
      <w:r>
        <w:t>2.3 Table/Column</w:t>
      </w:r>
    </w:p>
    <w:p>
      <w:pPr>
        <w:pStyle w:val="BodyRail"/>
      </w:pPr>
      <w:r>
        <w:t>Table과 Column은 Canonical 의미, nullability, default, key 관계를 먼저 정의하고 Vendor별 DDL 표현은 renderer가 담당합니다.</w:t>
      </w:r>
    </w:p>
    <w:p>
      <w:pPr>
        <w:pStyle w:val="BodyRail"/>
      </w:pPr>
      <w:r>
        <w:t>Table/Column naming·nullability·default·key 관계의 필수 규칙을 확인합니다.</w:t>
      </w:r>
    </w:p>
    <w:p>
      <w:pPr>
        <w:pStyle w:val="SourceRail"/>
      </w:pPr>
      <w:r>
        <w:t>Source 길찾기 cpf-tools/db/vendor/oracle</w:t>
      </w:r>
    </w:p>
    <w:p>
      <w:pPr>
        <w:pStyle w:val="Heading1"/>
        <w:keepNext/>
        <w:keepLines/>
        <w:widowControl/>
      </w:pPr>
      <w:r>
        <w:t>3. Datatype·Key·Constraint</w:t>
      </w:r>
    </w:p>
    <w:p>
      <w:pPr>
        <w:pStyle w:val="Heading2"/>
        <w:keepNext/>
        <w:keepLines/>
        <w:widowControl/>
      </w:pPr>
      <w:r>
        <w:t>3.1 Datatype</w:t>
      </w:r>
    </w:p>
    <w:p>
      <w:pPr>
        <w:pStyle w:val="BodyRail"/>
      </w:pPr>
      <w:r>
        <w:t>Datatype은 Canonical 의미를 기준으로 정의하고 Oracle·PostgreSQL·MariaDB의 표현 차이는 값 범위와 정밀도를 보존하는 범위에서만 분기합니다.</w:t>
      </w:r>
    </w:p>
    <w:p>
      <w:pPr>
        <w:pStyle w:val="Heading2"/>
        <w:keepNext/>
        <w:keepLines/>
        <w:widowControl/>
      </w:pPr>
      <w:r>
        <w:t>3.2 PK/FK</w:t>
      </w:r>
    </w:p>
    <w:p>
      <w:pPr>
        <w:pStyle w:val="BodyRail"/>
      </w:pPr>
      <w:r>
        <w:t>PK는 안정적인 row identity를 제공하고 FK는 Owner 간 참조 무결성을 명시합니다. 생성·변경·삭제 순서는 Migration과 Rollback/Recovery에서 함께 검증합니다.</w:t>
      </w:r>
    </w:p>
    <w:p>
      <w:pPr>
        <w:pStyle w:val="Heading2"/>
        <w:keepNext/>
        <w:keepLines/>
        <w:widowControl/>
      </w:pPr>
      <w:r>
        <w:t>3.3 Unique/Check</w:t>
      </w:r>
    </w:p>
    <w:p>
      <w:pPr>
        <w:pStyle w:val="BodyRail"/>
      </w:pPr>
      <w:r>
        <w:t>Unique와 Check는 Application 검증만으로 대체하지 않고 DB 무결성 계약으로 유지합니다. Vendor별 문법 차이는 Canonical 의미를 바꾸지 않습니다.</w:t>
      </w:r>
    </w:p>
    <w:p>
      <w:pPr>
        <w:pStyle w:val="BodyRail"/>
      </w:pPr>
      <w:r>
        <w:t>Unique/Check 제약이 DB3에서 동일한 무결성 결과를 만드는지 비교합니다.</w:t>
      </w:r>
    </w:p>
    <w:p>
      <w:pPr>
        <w:pStyle w:val="TableTitle"/>
        <w:keepNext/>
        <w:keepLines/>
        <w:widowControl/>
      </w:pPr>
      <w:r>
        <w:t>표 3-1. 항목 / Oracle / PostgreSQL / MariaDB</w:t>
      </w:r>
    </w:p>
    <w:p>
      <w:pPr>
        <w:pStyle w:val="TablePurpose"/>
        <w:keepNext/>
        <w:keepLines/>
        <w:widowControl/>
      </w:pPr>
      <w:r>
        <w:t>비교·선택·확인에 필요한 항목만 압축해 정리합니다.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720"/>
        <w:gridCol w:w="2720"/>
        <w:gridCol w:w="2720"/>
        <w:gridCol w:w="2720"/>
      </w:tblGrid>
      <w:tr>
        <w:trPr>
          <w:cantSplit/>
          <w:tblHeader w:val="true"/>
        </w:trPr>
        <w:tc>
          <w:tcPr>
            <w:tcW w:type="dxa" w:w="27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17324D"/>
          </w:tcPr>
          <w:p>
            <w:r>
              <w:rPr>
                <w:rFonts w:ascii="Noto Sans CJK KR" w:hAnsi="Noto Sans CJK KR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27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17324D"/>
          </w:tcPr>
          <w:p>
            <w:r>
              <w:rPr>
                <w:rFonts w:ascii="Noto Sans CJK KR" w:hAnsi="Noto Sans CJK KR"/>
                <w:b/>
                <w:color w:val="FFFFFF"/>
                <w:sz w:val="17"/>
              </w:rPr>
              <w:t>Oracle</w:t>
            </w:r>
          </w:p>
        </w:tc>
        <w:tc>
          <w:tcPr>
            <w:tcW w:type="dxa" w:w="27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17324D"/>
          </w:tcPr>
          <w:p>
            <w:r>
              <w:rPr>
                <w:rFonts w:ascii="Noto Sans CJK KR" w:hAnsi="Noto Sans CJK KR"/>
                <w:b/>
                <w:color w:val="FFFFFF"/>
                <w:sz w:val="17"/>
              </w:rPr>
              <w:t>PostgreSQL</w:t>
            </w:r>
          </w:p>
        </w:tc>
        <w:tc>
          <w:tcPr>
            <w:tcW w:type="dxa" w:w="27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17324D"/>
          </w:tcPr>
          <w:p>
            <w:r>
              <w:rPr>
                <w:rFonts w:ascii="Noto Sans CJK KR" w:hAnsi="Noto Sans CJK KR"/>
                <w:b/>
                <w:color w:val="FFFFFF"/>
                <w:sz w:val="17"/>
              </w:rPr>
              <w:t>MariaDB</w:t>
            </w:r>
          </w:p>
        </w:tc>
      </w:tr>
      <w:tr>
        <w:trPr>
          <w:cantSplit/>
        </w:trPr>
        <w:tc>
          <w:tcPr>
            <w:tcW w:type="dxa" w:w="27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4F7FA"/>
          </w:tcPr>
          <w:p>
            <w:pPr>
              <w:spacing w:after="0" w:line="252" w:lineRule="auto"/>
            </w:pPr>
            <w:r>
              <w:rPr>
                <w:rFonts w:ascii="Noto Sans CJK KR" w:hAnsi="Noto Sans CJK KR"/>
                <w:color w:val="202124"/>
                <w:sz w:val="17"/>
              </w:rPr>
              <w:t>공식 지원</w:t>
            </w:r>
          </w:p>
        </w:tc>
        <w:tc>
          <w:tcPr>
            <w:tcW w:type="dxa" w:w="27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KR" w:hAnsi="Noto Sans CJK KR"/>
                <w:color w:val="202124"/>
                <w:sz w:val="17"/>
              </w:rPr>
              <w:t>지원</w:t>
            </w:r>
          </w:p>
        </w:tc>
        <w:tc>
          <w:tcPr>
            <w:tcW w:type="dxa" w:w="27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KR" w:hAnsi="Noto Sans CJK KR"/>
                <w:color w:val="202124"/>
                <w:sz w:val="17"/>
              </w:rPr>
              <w:t>지원</w:t>
            </w:r>
          </w:p>
        </w:tc>
        <w:tc>
          <w:tcPr>
            <w:tcW w:type="dxa" w:w="27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KR" w:hAnsi="Noto Sans CJK KR"/>
                <w:color w:val="202124"/>
                <w:sz w:val="17"/>
              </w:rPr>
              <w:t>지원</w:t>
            </w:r>
          </w:p>
        </w:tc>
      </w:tr>
      <w:tr>
        <w:trPr>
          <w:cantSplit/>
        </w:trPr>
        <w:tc>
          <w:tcPr>
            <w:tcW w:type="dxa" w:w="27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4F7FA"/>
          </w:tcPr>
          <w:p>
            <w:pPr>
              <w:spacing w:after="0" w:line="252" w:lineRule="auto"/>
            </w:pPr>
            <w:r>
              <w:rPr>
                <w:rFonts w:ascii="Noto Sans CJK KR" w:hAnsi="Noto Sans CJK KR"/>
                <w:color w:val="202124"/>
                <w:sz w:val="17"/>
              </w:rPr>
              <w:t>Canonical 의미</w:t>
            </w:r>
          </w:p>
        </w:tc>
        <w:tc>
          <w:tcPr>
            <w:tcW w:type="dxa" w:w="27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KR" w:hAnsi="Noto Sans CJK KR"/>
                <w:color w:val="202124"/>
                <w:sz w:val="17"/>
              </w:rPr>
              <w:t>공통</w:t>
            </w:r>
          </w:p>
        </w:tc>
        <w:tc>
          <w:tcPr>
            <w:tcW w:type="dxa" w:w="27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KR" w:hAnsi="Noto Sans CJK KR"/>
                <w:color w:val="202124"/>
                <w:sz w:val="17"/>
              </w:rPr>
              <w:t>공통</w:t>
            </w:r>
          </w:p>
        </w:tc>
        <w:tc>
          <w:tcPr>
            <w:tcW w:type="dxa" w:w="27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KR" w:hAnsi="Noto Sans CJK KR"/>
                <w:color w:val="202124"/>
                <w:sz w:val="17"/>
              </w:rPr>
              <w:t>공통</w:t>
            </w:r>
          </w:p>
        </w:tc>
      </w:tr>
      <w:tr>
        <w:trPr>
          <w:cantSplit/>
        </w:trPr>
        <w:tc>
          <w:tcPr>
            <w:tcW w:type="dxa" w:w="27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4F7FA"/>
          </w:tcPr>
          <w:p>
            <w:pPr>
              <w:spacing w:after="0" w:line="252" w:lineRule="auto"/>
            </w:pPr>
            <w:r>
              <w:rPr>
                <w:rFonts w:ascii="Noto Sans CJK KR" w:hAnsi="Noto Sans CJK KR"/>
                <w:color w:val="202124"/>
                <w:sz w:val="17"/>
              </w:rPr>
              <w:t>Vendor Render</w:t>
            </w:r>
          </w:p>
        </w:tc>
        <w:tc>
          <w:tcPr>
            <w:tcW w:type="dxa" w:w="27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KR" w:hAnsi="Noto Sans CJK KR"/>
                <w:color w:val="202124"/>
                <w:sz w:val="17"/>
              </w:rPr>
              <w:t>oracle</w:t>
            </w:r>
          </w:p>
        </w:tc>
        <w:tc>
          <w:tcPr>
            <w:tcW w:type="dxa" w:w="27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KR" w:hAnsi="Noto Sans CJK KR"/>
                <w:color w:val="202124"/>
                <w:sz w:val="17"/>
              </w:rPr>
              <w:t>postgresql</w:t>
            </w:r>
          </w:p>
        </w:tc>
        <w:tc>
          <w:tcPr>
            <w:tcW w:type="dxa" w:w="27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KR" w:hAnsi="Noto Sans CJK KR"/>
                <w:color w:val="202124"/>
                <w:sz w:val="17"/>
              </w:rPr>
              <w:t>mariadb</w:t>
            </w:r>
          </w:p>
        </w:tc>
      </w:tr>
      <w:tr>
        <w:trPr>
          <w:cantSplit/>
        </w:trPr>
        <w:tc>
          <w:tcPr>
            <w:tcW w:type="dxa" w:w="27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4F7FA"/>
          </w:tcPr>
          <w:p>
            <w:pPr>
              <w:spacing w:after="0" w:line="252" w:lineRule="auto"/>
            </w:pPr>
            <w:r>
              <w:rPr>
                <w:rFonts w:ascii="Noto Sans CJK KR" w:hAnsi="Noto Sans CJK KR"/>
                <w:color w:val="202124"/>
                <w:sz w:val="17"/>
              </w:rPr>
              <w:t>검증</w:t>
            </w:r>
          </w:p>
        </w:tc>
        <w:tc>
          <w:tcPr>
            <w:tcW w:type="dxa" w:w="27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KR" w:hAnsi="Noto Sans CJK KR"/>
                <w:color w:val="202124"/>
                <w:sz w:val="17"/>
              </w:rPr>
              <w:t>DDL·Runtime</w:t>
            </w:r>
          </w:p>
        </w:tc>
        <w:tc>
          <w:tcPr>
            <w:tcW w:type="dxa" w:w="27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KR" w:hAnsi="Noto Sans CJK KR"/>
                <w:color w:val="202124"/>
                <w:sz w:val="17"/>
              </w:rPr>
              <w:t>DDL·Runtime</w:t>
            </w:r>
          </w:p>
        </w:tc>
        <w:tc>
          <w:tcPr>
            <w:tcW w:type="dxa" w:w="27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KR" w:hAnsi="Noto Sans CJK KR"/>
                <w:color w:val="202124"/>
                <w:sz w:val="17"/>
              </w:rPr>
              <w:t>DDL·Runtime</w:t>
            </w:r>
          </w:p>
        </w:tc>
      </w:tr>
    </w:tbl>
    <w:p/>
    <w:p>
      <w:pPr>
        <w:pStyle w:val="BodyRail"/>
      </w:pPr>
      <w:r>
        <w:t>DB 무결성 제약의 Canonical 의미와 Vendor별 표현 제한을 확인합니다.</w:t>
      </w:r>
    </w:p>
    <w:p>
      <w:pPr>
        <w:pStyle w:val="SourceRail"/>
      </w:pPr>
      <w:r>
        <w:t>Source 길찾기 cpf-tools/db/vendor/oracle</w:t>
      </w:r>
    </w:p>
    <w:p>
      <w:pPr>
        <w:pStyle w:val="Heading1"/>
        <w:keepNext/>
        <w:keepLines/>
        <w:widowControl/>
      </w:pPr>
      <w:r>
        <w:t>4. Index·Identity</w:t>
      </w:r>
    </w:p>
    <w:p>
      <w:pPr>
        <w:pStyle w:val="Heading2"/>
        <w:keepNext/>
        <w:keepLines/>
        <w:widowControl/>
      </w:pPr>
      <w:r>
        <w:t>4.1 Index</w:t>
      </w:r>
    </w:p>
    <w:p>
      <w:pPr>
        <w:pStyle w:val="BodyRail"/>
      </w:pPr>
      <w:r>
        <w:t>Index는 실제 Runtime Query와 cardinality를 기준으로 설계합니다. 읽기 성능만 보지 않고 DML 비용, lock 영향, 중복 index를 함께 검토합니다.</w:t>
      </w:r>
    </w:p>
    <w:p>
      <w:pPr>
        <w:pStyle w:val="BulletRail"/>
      </w:pPr>
      <w:r>
        <w:t>•  PK/FK/검색 조건과 execution plan을 확인합니다.</w:t>
      </w:r>
    </w:p>
    <w:p>
      <w:pPr>
        <w:pStyle w:val="BulletRail"/>
      </w:pPr>
      <w:r>
        <w:t>•  Vendor별 이름 길이·online DDL 제약은 배포 절차에서 확인합니다.</w:t>
      </w:r>
    </w:p>
    <w:p>
      <w:pPr>
        <w:pStyle w:val="Heading2"/>
        <w:keepNext/>
        <w:keepLines/>
        <w:widowControl/>
      </w:pPr>
      <w:r>
        <w:t>4.2 Sequence/Identity</w:t>
      </w:r>
    </w:p>
    <w:p>
      <w:pPr>
        <w:pStyle w:val="BodyRail"/>
      </w:pPr>
      <w:r>
        <w:t>Sequence/Identity는 Vendor별 생성 방식이 달라도 동일한 identity 의미와 동시성 안전성을 유지하도록 renderer와 runtime query를 함께 검증합니다.</w:t>
      </w:r>
    </w:p>
    <w:p>
      <w:pPr>
        <w:pStyle w:val="BodyRail"/>
      </w:pPr>
      <w:r>
        <w:t>identity 생성 방식의 DB3 차이와 동시성 검증 기준을 확인합니다.</w:t>
      </w:r>
    </w:p>
    <w:p>
      <w:pPr>
        <w:pStyle w:val="SourceRail"/>
      </w:pPr>
      <w:r>
        <w:t>Source 길찾기 cpf-tools/db/vendor/oracle</w:t>
      </w:r>
    </w:p>
    <w:p>
      <w:pPr>
        <w:pStyle w:val="Heading1"/>
        <w:keepNext/>
        <w:keepLines/>
        <w:widowControl/>
      </w:pPr>
      <w:r>
        <w:t>5. Audit·Lock·Batch Claim</w:t>
      </w:r>
    </w:p>
    <w:p>
      <w:pPr>
        <w:pStyle w:val="Heading2"/>
        <w:keepNext/>
        <w:keepLines/>
        <w:widowControl/>
      </w:pPr>
      <w:r>
        <w:t>5.1 Audit/History</w:t>
      </w:r>
    </w:p>
    <w:p>
      <w:pPr>
        <w:pStyle w:val="BodyRail"/>
      </w:pPr>
      <w:r>
        <w:t>Audit/History 데이터는 누가·언제·무엇을·왜 변경했는지 재구성할 수 있어야 합니다. 업무 원장과 감사 이력의 retention/권한을 분리합니다.</w:t>
      </w:r>
    </w:p>
    <w:p>
      <w:pPr>
        <w:pStyle w:val="BulletRail"/>
      </w:pPr>
      <w:r>
        <w:t>•  민감정보 원문을 감사 로그에 복제하지 않습니다.</w:t>
      </w:r>
    </w:p>
    <w:p>
      <w:pPr>
        <w:pStyle w:val="BulletRail"/>
      </w:pPr>
      <w:r>
        <w:t>•  운영 위험조치에는 reason/approval/result를 연결합니다.</w:t>
      </w:r>
    </w:p>
    <w:p>
      <w:pPr>
        <w:pStyle w:val="Heading2"/>
        <w:keepNext/>
        <w:keepLines/>
        <w:widowControl/>
      </w:pPr>
      <w:r>
        <w:t>5.2 Lock/Concurrency</w:t>
      </w:r>
    </w:p>
    <w:p>
      <w:pPr>
        <w:pStyle w:val="BodyRail"/>
      </w:pPr>
      <w:r>
        <w:t>Lock은 동일 Resource에 대한 동시 Side Effect를 제어하는 수단입니다. DB lock, optimistic concurrency, distributed lock 중 소유 범위와 장애 모델에 맞는 방식을 선택합니다.</w:t>
      </w:r>
    </w:p>
    <w:p>
      <w:pPr>
        <w:pStyle w:val="BulletRail"/>
      </w:pPr>
      <w:r>
        <w:t>•  lease 기반 lock은 만료와 fencing token을 함께 검토합니다.</w:t>
      </w:r>
    </w:p>
    <w:p>
      <w:pPr>
        <w:pStyle w:val="BulletRail"/>
      </w:pPr>
      <w:r>
        <w:t>•  lock 대기시간을 transaction timeout보다 길게 두지 않습니다.</w:t>
      </w:r>
    </w:p>
    <w:p>
      <w:pPr>
        <w:pStyle w:val="Heading2"/>
        <w:keepNext/>
        <w:keepLines/>
        <w:widowControl/>
      </w:pPr>
      <w:r>
        <w:t>5.3 Batch Claim</w:t>
      </w:r>
    </w:p>
    <w:p>
      <w:pPr>
        <w:pStyle w:val="BodyRail"/>
      </w:pPr>
      <w:r>
        <w:t>Batch Claim은 다중 Worker가 같은 대상을 중복 처리하지 않도록 claim 상태, owner instance, lease 만료와 fencing token을 DB 조건으로 관리합니다.</w:t>
      </w:r>
    </w:p>
    <w:p>
      <w:pPr>
        <w:pStyle w:val="BulletRail"/>
      </w:pPr>
      <w:r>
        <w:t>•  claim update는 현재 owner/lease/fencing 조건을 원자적으로 비교해 stale Worker의 갱신을 거절합니다.</w:t>
      </w:r>
    </w:p>
    <w:p>
      <w:pPr>
        <w:pStyle w:val="BulletRail"/>
      </w:pPr>
      <w:r>
        <w:t>•  Worker 재할당 뒤 이전 fencing token으로 쓰기가 가능한지 동시성 Test로 검증합니다.</w:t>
      </w:r>
    </w:p>
    <w:p>
      <w:pPr>
        <w:pStyle w:val="BodyRail"/>
      </w:pPr>
      <w:r>
        <w:t>claim·lease·fencing 컬럼과 원자적 갱신 조건을 확인합니다.</w:t>
      </w:r>
    </w:p>
    <w:p>
      <w:pPr>
        <w:pStyle w:val="SourceRail"/>
      </w:pPr>
      <w:r>
        <w:t>Source 길찾기 cpf-starters/data/src/main/java/com/cpf/data/lock/api/CpfLockManager.java</w:t>
      </w:r>
    </w:p>
    <w:p>
      <w:pPr>
        <w:pStyle w:val="Heading1"/>
        <w:keepNext/>
        <w:keepLines/>
        <w:widowControl/>
      </w:pPr>
      <w:r>
        <w:t>6. Fresh Init·Migration·Seed</w:t>
      </w:r>
    </w:p>
    <w:p>
      <w:pPr>
        <w:pStyle w:val="Heading2"/>
        <w:keepNext/>
        <w:keepLines/>
        <w:widowControl/>
      </w:pPr>
      <w:r>
        <w:t>6.1 Fresh Initialization</w:t>
      </w:r>
    </w:p>
    <w:p>
      <w:pPr>
        <w:pStyle w:val="BodyRail"/>
      </w:pPr>
      <w:r>
        <w:t>Fresh Initialization은 Canonical DB Source를 기준으로 빈 DB/User/Schema를 준비하고 DB3 Vendor Render와 Seed까지 재현 가능하게 구성합니다.</w:t>
      </w:r>
    </w:p>
    <w:p>
      <w:pPr>
        <w:pStyle w:val="BulletRail"/>
      </w:pPr>
      <w:r>
        <w:t>•  Fresh Init은 기존 객체에 의존하지 않는 빈 환경에서 schema·seed까지 재현해야 합니다.</w:t>
      </w:r>
    </w:p>
    <w:p>
      <w:pPr>
        <w:pStyle w:val="Heading2"/>
        <w:keepNext/>
        <w:keepLines/>
        <w:widowControl/>
      </w:pPr>
      <w:r>
        <w:t>6.2 Migration</w:t>
      </w:r>
    </w:p>
    <w:p>
      <w:pPr>
        <w:pStyle w:val="BodyRail"/>
      </w:pPr>
      <w:r>
        <w:t>Migration은 현재 Schema에서 목표 Schema로의 전이를 정의하며 순서, 기존 데이터, index/FK 영향과 실패 시 복구 경로를 함께 검증합니다.</w:t>
      </w:r>
    </w:p>
    <w:p>
      <w:pPr>
        <w:pStyle w:val="BulletRail"/>
      </w:pPr>
      <w:r>
        <w:t>•  Migration은 적용 순서와 기존 데이터 보존, 실패 시 복구 지점을 함께 검증합니다.</w:t>
      </w:r>
    </w:p>
    <w:p>
      <w:pPr>
        <w:pStyle w:val="Heading2"/>
        <w:keepNext/>
        <w:keepLines/>
        <w:widowControl/>
      </w:pPr>
      <w:r>
        <w:t>6.3 Seed</w:t>
      </w:r>
    </w:p>
    <w:p>
      <w:pPr>
        <w:pStyle w:val="BodyRail"/>
      </w:pPr>
      <w:r>
        <w:t>Seed는 필수 기준 데이터를 재현 가능하고 재실행 안전하게 반영하며 Vendor별 결과가 같은 업무 의미를 가져야 합니다.</w:t>
      </w:r>
    </w:p>
    <w:p>
      <w:pPr>
        <w:pStyle w:val="BulletRail"/>
      </w:pPr>
      <w:r>
        <w:t>•  Seed는 재실행해도 중복 기준 데이터나 다른 Vendor 결과를 만들지 않아야 합니다.</w:t>
      </w:r>
    </w:p>
    <w:p>
      <w:pPr>
        <w:pStyle w:val="BodyRail"/>
      </w:pPr>
      <w:r>
        <w:t>DB 변경이 Fresh Init부터 Runtime Query까지 닫혔는지 확인합니다.</w:t>
      </w:r>
    </w:p>
    <w:p>
      <w:pPr>
        <w:pStyle w:val="TableTitle"/>
        <w:keepNext/>
        <w:keepLines/>
        <w:widowControl/>
      </w:pPr>
      <w:r>
        <w:t>표 6-1. 단계 / Canonical / Vendor 영향 / 검증/복구</w:t>
      </w:r>
    </w:p>
    <w:p>
      <w:pPr>
        <w:pStyle w:val="TablePurpose"/>
        <w:keepNext/>
        <w:keepLines/>
        <w:widowControl/>
      </w:pPr>
      <w:r>
        <w:t>비교·선택·확인에 필요한 항목만 압축해 정리합니다.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720"/>
        <w:gridCol w:w="2720"/>
        <w:gridCol w:w="2720"/>
        <w:gridCol w:w="2720"/>
      </w:tblGrid>
      <w:tr>
        <w:trPr>
          <w:cantSplit/>
          <w:tblHeader w:val="true"/>
        </w:trPr>
        <w:tc>
          <w:tcPr>
            <w:tcW w:type="dxa" w:w="27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17324D"/>
          </w:tcPr>
          <w:p>
            <w:r>
              <w:rPr>
                <w:rFonts w:ascii="Noto Sans CJK KR" w:hAnsi="Noto Sans CJK KR"/>
                <w:b/>
                <w:color w:val="FFFFFF"/>
                <w:sz w:val="17"/>
              </w:rPr>
              <w:t>단계</w:t>
            </w:r>
          </w:p>
        </w:tc>
        <w:tc>
          <w:tcPr>
            <w:tcW w:type="dxa" w:w="27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17324D"/>
          </w:tcPr>
          <w:p>
            <w:r>
              <w:rPr>
                <w:rFonts w:ascii="Noto Sans CJK KR" w:hAnsi="Noto Sans CJK KR"/>
                <w:b/>
                <w:color w:val="FFFFFF"/>
                <w:sz w:val="17"/>
              </w:rPr>
              <w:t>Canonical</w:t>
            </w:r>
          </w:p>
        </w:tc>
        <w:tc>
          <w:tcPr>
            <w:tcW w:type="dxa" w:w="27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17324D"/>
          </w:tcPr>
          <w:p>
            <w:r>
              <w:rPr>
                <w:rFonts w:ascii="Noto Sans CJK KR" w:hAnsi="Noto Sans CJK KR"/>
                <w:b/>
                <w:color w:val="FFFFFF"/>
                <w:sz w:val="17"/>
              </w:rPr>
              <w:t>Vendor 영향</w:t>
            </w:r>
          </w:p>
        </w:tc>
        <w:tc>
          <w:tcPr>
            <w:tcW w:type="dxa" w:w="27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17324D"/>
          </w:tcPr>
          <w:p>
            <w:r>
              <w:rPr>
                <w:rFonts w:ascii="Noto Sans CJK KR" w:hAnsi="Noto Sans CJK KR"/>
                <w:b/>
                <w:color w:val="FFFFFF"/>
                <w:sz w:val="17"/>
              </w:rPr>
              <w:t>검증/복구</w:t>
            </w:r>
          </w:p>
        </w:tc>
      </w:tr>
      <w:tr>
        <w:trPr>
          <w:cantSplit/>
        </w:trPr>
        <w:tc>
          <w:tcPr>
            <w:tcW w:type="dxa" w:w="27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4F7FA"/>
          </w:tcPr>
          <w:p>
            <w:pPr>
              <w:spacing w:after="0" w:line="252" w:lineRule="auto"/>
            </w:pPr>
            <w:r>
              <w:rPr>
                <w:rFonts w:ascii="Noto Sans CJK KR" w:hAnsi="Noto Sans CJK KR"/>
                <w:color w:val="202124"/>
                <w:sz w:val="17"/>
              </w:rPr>
              <w:t>Fresh Init</w:t>
            </w:r>
          </w:p>
        </w:tc>
        <w:tc>
          <w:tcPr>
            <w:tcW w:type="dxa" w:w="27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KR" w:hAnsi="Noto Sans CJK KR"/>
                <w:color w:val="202124"/>
                <w:sz w:val="17"/>
              </w:rPr>
              <w:t>Canonical schema</w:t>
            </w:r>
          </w:p>
        </w:tc>
        <w:tc>
          <w:tcPr>
            <w:tcW w:type="dxa" w:w="27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KR" w:hAnsi="Noto Sans CJK KR"/>
                <w:color w:val="202124"/>
                <w:sz w:val="17"/>
              </w:rPr>
              <w:t>Vendor별 DDL</w:t>
            </w:r>
          </w:p>
        </w:tc>
        <w:tc>
          <w:tcPr>
            <w:tcW w:type="dxa" w:w="27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KR" w:hAnsi="Noto Sans CJK KR"/>
                <w:color w:val="202124"/>
                <w:sz w:val="17"/>
              </w:rPr>
              <w:t>깨끗한 초기화</w:t>
            </w:r>
          </w:p>
        </w:tc>
      </w:tr>
      <w:tr>
        <w:trPr>
          <w:cantSplit/>
        </w:trPr>
        <w:tc>
          <w:tcPr>
            <w:tcW w:type="dxa" w:w="27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4F7FA"/>
          </w:tcPr>
          <w:p>
            <w:pPr>
              <w:spacing w:after="0" w:line="252" w:lineRule="auto"/>
            </w:pPr>
            <w:r>
              <w:rPr>
                <w:rFonts w:ascii="Noto Sans CJK KR" w:hAnsi="Noto Sans CJK KR"/>
                <w:color w:val="202124"/>
                <w:sz w:val="17"/>
              </w:rPr>
              <w:t>Migration</w:t>
            </w:r>
          </w:p>
        </w:tc>
        <w:tc>
          <w:tcPr>
            <w:tcW w:type="dxa" w:w="27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KR" w:hAnsi="Noto Sans CJK KR"/>
                <w:color w:val="202124"/>
                <w:sz w:val="17"/>
              </w:rPr>
              <w:t>변경 정의</w:t>
            </w:r>
          </w:p>
        </w:tc>
        <w:tc>
          <w:tcPr>
            <w:tcW w:type="dxa" w:w="27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KR" w:hAnsi="Noto Sans CJK KR"/>
                <w:color w:val="202124"/>
                <w:sz w:val="17"/>
              </w:rPr>
              <w:t>문법/락 차이</w:t>
            </w:r>
          </w:p>
        </w:tc>
        <w:tc>
          <w:tcPr>
            <w:tcW w:type="dxa" w:w="27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KR" w:hAnsi="Noto Sans CJK KR"/>
                <w:color w:val="202124"/>
                <w:sz w:val="17"/>
              </w:rPr>
              <w:t>upgrade 실행</w:t>
            </w:r>
          </w:p>
        </w:tc>
      </w:tr>
      <w:tr>
        <w:trPr>
          <w:cantSplit/>
        </w:trPr>
        <w:tc>
          <w:tcPr>
            <w:tcW w:type="dxa" w:w="27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4F7FA"/>
          </w:tcPr>
          <w:p>
            <w:pPr>
              <w:spacing w:after="0" w:line="252" w:lineRule="auto"/>
            </w:pPr>
            <w:r>
              <w:rPr>
                <w:rFonts w:ascii="Noto Sans CJK KR" w:hAnsi="Noto Sans CJK KR"/>
                <w:color w:val="202124"/>
                <w:sz w:val="17"/>
              </w:rPr>
              <w:t>Seed</w:t>
            </w:r>
          </w:p>
        </w:tc>
        <w:tc>
          <w:tcPr>
            <w:tcW w:type="dxa" w:w="27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KR" w:hAnsi="Noto Sans CJK KR"/>
                <w:color w:val="202124"/>
                <w:sz w:val="17"/>
              </w:rPr>
              <w:t>공통 기준 데이터</w:t>
            </w:r>
          </w:p>
        </w:tc>
        <w:tc>
          <w:tcPr>
            <w:tcW w:type="dxa" w:w="27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KR" w:hAnsi="Noto Sans CJK KR"/>
                <w:color w:val="202124"/>
                <w:sz w:val="17"/>
              </w:rPr>
              <w:t>DML 차이</w:t>
            </w:r>
          </w:p>
        </w:tc>
        <w:tc>
          <w:tcPr>
            <w:tcW w:type="dxa" w:w="27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KR" w:hAnsi="Noto Sans CJK KR"/>
                <w:color w:val="202124"/>
                <w:sz w:val="17"/>
              </w:rPr>
              <w:t>재실행 안전성</w:t>
            </w:r>
          </w:p>
        </w:tc>
      </w:tr>
      <w:tr>
        <w:trPr>
          <w:cantSplit/>
        </w:trPr>
        <w:tc>
          <w:tcPr>
            <w:tcW w:type="dxa" w:w="27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4F7FA"/>
          </w:tcPr>
          <w:p>
            <w:pPr>
              <w:spacing w:after="0" w:line="252" w:lineRule="auto"/>
            </w:pPr>
            <w:r>
              <w:rPr>
                <w:rFonts w:ascii="Noto Sans CJK KR" w:hAnsi="Noto Sans CJK KR"/>
                <w:color w:val="202124"/>
                <w:sz w:val="17"/>
              </w:rPr>
              <w:t>Rollback/Recovery</w:t>
            </w:r>
          </w:p>
        </w:tc>
        <w:tc>
          <w:tcPr>
            <w:tcW w:type="dxa" w:w="27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KR" w:hAnsi="Noto Sans CJK KR"/>
                <w:color w:val="202124"/>
                <w:sz w:val="17"/>
              </w:rPr>
              <w:t>역변경/복구</w:t>
            </w:r>
          </w:p>
        </w:tc>
        <w:tc>
          <w:tcPr>
            <w:tcW w:type="dxa" w:w="27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KR" w:hAnsi="Noto Sans CJK KR"/>
                <w:color w:val="202124"/>
                <w:sz w:val="17"/>
              </w:rPr>
              <w:t>Vendor별 절차</w:t>
            </w:r>
          </w:p>
        </w:tc>
        <w:tc>
          <w:tcPr>
            <w:tcW w:type="dxa" w:w="27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KR" w:hAnsi="Noto Sans CJK KR"/>
                <w:color w:val="202124"/>
                <w:sz w:val="17"/>
              </w:rPr>
              <w:t>실패 복구 Evidence</w:t>
            </w:r>
          </w:p>
        </w:tc>
      </w:tr>
      <w:tr>
        <w:trPr>
          <w:cantSplit/>
        </w:trPr>
        <w:tc>
          <w:tcPr>
            <w:tcW w:type="dxa" w:w="27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4F7FA"/>
          </w:tcPr>
          <w:p>
            <w:pPr>
              <w:spacing w:after="0" w:line="252" w:lineRule="auto"/>
            </w:pPr>
            <w:r>
              <w:rPr>
                <w:rFonts w:ascii="Noto Sans CJK KR" w:hAnsi="Noto Sans CJK KR"/>
                <w:color w:val="202124"/>
                <w:sz w:val="17"/>
              </w:rPr>
              <w:t>Runtime Query</w:t>
            </w:r>
          </w:p>
        </w:tc>
        <w:tc>
          <w:tcPr>
            <w:tcW w:type="dxa" w:w="27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KR" w:hAnsi="Noto Sans CJK KR"/>
                <w:color w:val="202124"/>
                <w:sz w:val="17"/>
              </w:rPr>
              <w:t>Repository 의미</w:t>
            </w:r>
          </w:p>
        </w:tc>
        <w:tc>
          <w:tcPr>
            <w:tcW w:type="dxa" w:w="27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KR" w:hAnsi="Noto Sans CJK KR"/>
                <w:color w:val="202124"/>
                <w:sz w:val="17"/>
              </w:rPr>
              <w:t>SQL 차이</w:t>
            </w:r>
          </w:p>
        </w:tc>
        <w:tc>
          <w:tcPr>
            <w:tcW w:type="dxa" w:w="27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KR" w:hAnsi="Noto Sans CJK KR"/>
                <w:color w:val="202124"/>
                <w:sz w:val="17"/>
              </w:rPr>
              <w:t>실거래 검증</w:t>
            </w:r>
          </w:p>
        </w:tc>
      </w:tr>
    </w:tbl>
    <w:p/>
    <w:p>
      <w:pPr>
        <w:pStyle w:val="SourceRail"/>
      </w:pPr>
      <w:r>
        <w:t>Source 길찾기 cpf-tools/db/vendor/oracle</w:t>
      </w:r>
    </w:p>
    <w:p>
      <w:pPr>
        <w:pStyle w:val="Heading1"/>
        <w:keepNext/>
        <w:keepLines/>
        <w:widowControl/>
      </w:pPr>
      <w:r>
        <w:t>7. Upgrade·Rollback·Recovery</w:t>
      </w:r>
    </w:p>
    <w:p>
      <w:pPr>
        <w:pStyle w:val="Heading2"/>
        <w:keepNext/>
        <w:keepLines/>
        <w:widowControl/>
      </w:pPr>
      <w:r>
        <w:t>7.1 Upgrade</w:t>
      </w:r>
    </w:p>
    <w:p>
      <w:pPr>
        <w:pStyle w:val="BodyRail"/>
      </w:pPr>
      <w:r>
        <w:t>Upgrade는 Migration, Runtime compatibility, 데이터 보존과 배포 순서를 함께 검증해 구버전/신버전 혼재 구간의 위험을 관리합니다.</w:t>
      </w:r>
    </w:p>
    <w:p>
      <w:pPr>
        <w:pStyle w:val="BulletRail"/>
      </w:pPr>
      <w:r>
        <w:t>•  Upgrade는 구·신 Runtime 혼재 구간과 Schema compatibility를 포함해 검증합니다.</w:t>
      </w:r>
    </w:p>
    <w:p>
      <w:pPr>
        <w:pStyle w:val="Heading2"/>
        <w:keepNext/>
        <w:keepLines/>
        <w:widowControl/>
      </w:pPr>
      <w:r>
        <w:t>7.2 Rollback/Recovery</w:t>
      </w:r>
    </w:p>
    <w:p>
      <w:pPr>
        <w:pStyle w:val="BodyRail"/>
      </w:pPr>
      <w:r>
        <w:t>Rollback 가능한 변경은 역전 절차를 검증하고, 역전이 위험하거나 불가능한 변경은 명시적인 Recovery 절차와 판단 기준을 제공합니다.</w:t>
      </w:r>
    </w:p>
    <w:p>
      <w:pPr>
        <w:pStyle w:val="BulletRail"/>
      </w:pPr>
      <w:r>
        <w:t>•  역전 불가 변경은 rollback 성공으로 꾸미지 않고 명시적 recovery 절차를 제공합니다.</w:t>
      </w:r>
    </w:p>
    <w:p>
      <w:pPr>
        <w:pStyle w:val="BodyRail"/>
      </w:pPr>
      <w:r>
        <w:t>DB 변경이 Fresh Init부터 Runtime Query까지 닫혔는지 확인합니다.</w:t>
      </w:r>
    </w:p>
    <w:p>
      <w:pPr>
        <w:pStyle w:val="TableTitle"/>
        <w:keepNext/>
        <w:keepLines/>
        <w:widowControl/>
      </w:pPr>
      <w:r>
        <w:t>표 7-1. 단계 / Canonical / Vendor 영향 / 검증/복구</w:t>
      </w:r>
    </w:p>
    <w:p>
      <w:pPr>
        <w:pStyle w:val="TablePurpose"/>
        <w:keepNext/>
        <w:keepLines/>
        <w:widowControl/>
      </w:pPr>
      <w:r>
        <w:t>비교·선택·확인에 필요한 항목만 압축해 정리합니다.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720"/>
        <w:gridCol w:w="2720"/>
        <w:gridCol w:w="2720"/>
        <w:gridCol w:w="2720"/>
      </w:tblGrid>
      <w:tr>
        <w:trPr>
          <w:cantSplit/>
          <w:tblHeader w:val="true"/>
        </w:trPr>
        <w:tc>
          <w:tcPr>
            <w:tcW w:type="dxa" w:w="27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17324D"/>
          </w:tcPr>
          <w:p>
            <w:r>
              <w:rPr>
                <w:rFonts w:ascii="Noto Sans CJK KR" w:hAnsi="Noto Sans CJK KR"/>
                <w:b/>
                <w:color w:val="FFFFFF"/>
                <w:sz w:val="17"/>
              </w:rPr>
              <w:t>단계</w:t>
            </w:r>
          </w:p>
        </w:tc>
        <w:tc>
          <w:tcPr>
            <w:tcW w:type="dxa" w:w="27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17324D"/>
          </w:tcPr>
          <w:p>
            <w:r>
              <w:rPr>
                <w:rFonts w:ascii="Noto Sans CJK KR" w:hAnsi="Noto Sans CJK KR"/>
                <w:b/>
                <w:color w:val="FFFFFF"/>
                <w:sz w:val="17"/>
              </w:rPr>
              <w:t>Canonical</w:t>
            </w:r>
          </w:p>
        </w:tc>
        <w:tc>
          <w:tcPr>
            <w:tcW w:type="dxa" w:w="27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17324D"/>
          </w:tcPr>
          <w:p>
            <w:r>
              <w:rPr>
                <w:rFonts w:ascii="Noto Sans CJK KR" w:hAnsi="Noto Sans CJK KR"/>
                <w:b/>
                <w:color w:val="FFFFFF"/>
                <w:sz w:val="17"/>
              </w:rPr>
              <w:t>Vendor 영향</w:t>
            </w:r>
          </w:p>
        </w:tc>
        <w:tc>
          <w:tcPr>
            <w:tcW w:type="dxa" w:w="27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17324D"/>
          </w:tcPr>
          <w:p>
            <w:r>
              <w:rPr>
                <w:rFonts w:ascii="Noto Sans CJK KR" w:hAnsi="Noto Sans CJK KR"/>
                <w:b/>
                <w:color w:val="FFFFFF"/>
                <w:sz w:val="17"/>
              </w:rPr>
              <w:t>검증/복구</w:t>
            </w:r>
          </w:p>
        </w:tc>
      </w:tr>
      <w:tr>
        <w:trPr>
          <w:cantSplit/>
        </w:trPr>
        <w:tc>
          <w:tcPr>
            <w:tcW w:type="dxa" w:w="27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4F7FA"/>
          </w:tcPr>
          <w:p>
            <w:pPr>
              <w:spacing w:after="0" w:line="252" w:lineRule="auto"/>
            </w:pPr>
            <w:r>
              <w:rPr>
                <w:rFonts w:ascii="Noto Sans CJK KR" w:hAnsi="Noto Sans CJK KR"/>
                <w:color w:val="202124"/>
                <w:sz w:val="17"/>
              </w:rPr>
              <w:t>Fresh Init</w:t>
            </w:r>
          </w:p>
        </w:tc>
        <w:tc>
          <w:tcPr>
            <w:tcW w:type="dxa" w:w="27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KR" w:hAnsi="Noto Sans CJK KR"/>
                <w:color w:val="202124"/>
                <w:sz w:val="17"/>
              </w:rPr>
              <w:t>Canonical schema</w:t>
            </w:r>
          </w:p>
        </w:tc>
        <w:tc>
          <w:tcPr>
            <w:tcW w:type="dxa" w:w="27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KR" w:hAnsi="Noto Sans CJK KR"/>
                <w:color w:val="202124"/>
                <w:sz w:val="17"/>
              </w:rPr>
              <w:t>Vendor별 DDL</w:t>
            </w:r>
          </w:p>
        </w:tc>
        <w:tc>
          <w:tcPr>
            <w:tcW w:type="dxa" w:w="27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KR" w:hAnsi="Noto Sans CJK KR"/>
                <w:color w:val="202124"/>
                <w:sz w:val="17"/>
              </w:rPr>
              <w:t>깨끗한 초기화</w:t>
            </w:r>
          </w:p>
        </w:tc>
      </w:tr>
      <w:tr>
        <w:trPr>
          <w:cantSplit/>
        </w:trPr>
        <w:tc>
          <w:tcPr>
            <w:tcW w:type="dxa" w:w="27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4F7FA"/>
          </w:tcPr>
          <w:p>
            <w:pPr>
              <w:spacing w:after="0" w:line="252" w:lineRule="auto"/>
            </w:pPr>
            <w:r>
              <w:rPr>
                <w:rFonts w:ascii="Noto Sans CJK KR" w:hAnsi="Noto Sans CJK KR"/>
                <w:color w:val="202124"/>
                <w:sz w:val="17"/>
              </w:rPr>
              <w:t>Migration</w:t>
            </w:r>
          </w:p>
        </w:tc>
        <w:tc>
          <w:tcPr>
            <w:tcW w:type="dxa" w:w="27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KR" w:hAnsi="Noto Sans CJK KR"/>
                <w:color w:val="202124"/>
                <w:sz w:val="17"/>
              </w:rPr>
              <w:t>변경 정의</w:t>
            </w:r>
          </w:p>
        </w:tc>
        <w:tc>
          <w:tcPr>
            <w:tcW w:type="dxa" w:w="27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KR" w:hAnsi="Noto Sans CJK KR"/>
                <w:color w:val="202124"/>
                <w:sz w:val="17"/>
              </w:rPr>
              <w:t>문법/락 차이</w:t>
            </w:r>
          </w:p>
        </w:tc>
        <w:tc>
          <w:tcPr>
            <w:tcW w:type="dxa" w:w="27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KR" w:hAnsi="Noto Sans CJK KR"/>
                <w:color w:val="202124"/>
                <w:sz w:val="17"/>
              </w:rPr>
              <w:t>upgrade 실행</w:t>
            </w:r>
          </w:p>
        </w:tc>
      </w:tr>
      <w:tr>
        <w:trPr>
          <w:cantSplit/>
        </w:trPr>
        <w:tc>
          <w:tcPr>
            <w:tcW w:type="dxa" w:w="27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4F7FA"/>
          </w:tcPr>
          <w:p>
            <w:pPr>
              <w:spacing w:after="0" w:line="252" w:lineRule="auto"/>
            </w:pPr>
            <w:r>
              <w:rPr>
                <w:rFonts w:ascii="Noto Sans CJK KR" w:hAnsi="Noto Sans CJK KR"/>
                <w:color w:val="202124"/>
                <w:sz w:val="17"/>
              </w:rPr>
              <w:t>Seed</w:t>
            </w:r>
          </w:p>
        </w:tc>
        <w:tc>
          <w:tcPr>
            <w:tcW w:type="dxa" w:w="27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KR" w:hAnsi="Noto Sans CJK KR"/>
                <w:color w:val="202124"/>
                <w:sz w:val="17"/>
              </w:rPr>
              <w:t>공통 기준 데이터</w:t>
            </w:r>
          </w:p>
        </w:tc>
        <w:tc>
          <w:tcPr>
            <w:tcW w:type="dxa" w:w="27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KR" w:hAnsi="Noto Sans CJK KR"/>
                <w:color w:val="202124"/>
                <w:sz w:val="17"/>
              </w:rPr>
              <w:t>DML 차이</w:t>
            </w:r>
          </w:p>
        </w:tc>
        <w:tc>
          <w:tcPr>
            <w:tcW w:type="dxa" w:w="27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KR" w:hAnsi="Noto Sans CJK KR"/>
                <w:color w:val="202124"/>
                <w:sz w:val="17"/>
              </w:rPr>
              <w:t>재실행 안전성</w:t>
            </w:r>
          </w:p>
        </w:tc>
      </w:tr>
      <w:tr>
        <w:trPr>
          <w:cantSplit/>
        </w:trPr>
        <w:tc>
          <w:tcPr>
            <w:tcW w:type="dxa" w:w="27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4F7FA"/>
          </w:tcPr>
          <w:p>
            <w:pPr>
              <w:spacing w:after="0" w:line="252" w:lineRule="auto"/>
            </w:pPr>
            <w:r>
              <w:rPr>
                <w:rFonts w:ascii="Noto Sans CJK KR" w:hAnsi="Noto Sans CJK KR"/>
                <w:color w:val="202124"/>
                <w:sz w:val="17"/>
              </w:rPr>
              <w:t>Rollback/Recovery</w:t>
            </w:r>
          </w:p>
        </w:tc>
        <w:tc>
          <w:tcPr>
            <w:tcW w:type="dxa" w:w="27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KR" w:hAnsi="Noto Sans CJK KR"/>
                <w:color w:val="202124"/>
                <w:sz w:val="17"/>
              </w:rPr>
              <w:t>역변경/복구</w:t>
            </w:r>
          </w:p>
        </w:tc>
        <w:tc>
          <w:tcPr>
            <w:tcW w:type="dxa" w:w="27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KR" w:hAnsi="Noto Sans CJK KR"/>
                <w:color w:val="202124"/>
                <w:sz w:val="17"/>
              </w:rPr>
              <w:t>Vendor별 절차</w:t>
            </w:r>
          </w:p>
        </w:tc>
        <w:tc>
          <w:tcPr>
            <w:tcW w:type="dxa" w:w="27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KR" w:hAnsi="Noto Sans CJK KR"/>
                <w:color w:val="202124"/>
                <w:sz w:val="17"/>
              </w:rPr>
              <w:t>실패 복구 Evidence</w:t>
            </w:r>
          </w:p>
        </w:tc>
      </w:tr>
      <w:tr>
        <w:trPr>
          <w:cantSplit/>
        </w:trPr>
        <w:tc>
          <w:tcPr>
            <w:tcW w:type="dxa" w:w="27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4F7FA"/>
          </w:tcPr>
          <w:p>
            <w:pPr>
              <w:spacing w:after="0" w:line="252" w:lineRule="auto"/>
            </w:pPr>
            <w:r>
              <w:rPr>
                <w:rFonts w:ascii="Noto Sans CJK KR" w:hAnsi="Noto Sans CJK KR"/>
                <w:color w:val="202124"/>
                <w:sz w:val="17"/>
              </w:rPr>
              <w:t>Runtime Query</w:t>
            </w:r>
          </w:p>
        </w:tc>
        <w:tc>
          <w:tcPr>
            <w:tcW w:type="dxa" w:w="27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KR" w:hAnsi="Noto Sans CJK KR"/>
                <w:color w:val="202124"/>
                <w:sz w:val="17"/>
              </w:rPr>
              <w:t>Repository 의미</w:t>
            </w:r>
          </w:p>
        </w:tc>
        <w:tc>
          <w:tcPr>
            <w:tcW w:type="dxa" w:w="27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KR" w:hAnsi="Noto Sans CJK KR"/>
                <w:color w:val="202124"/>
                <w:sz w:val="17"/>
              </w:rPr>
              <w:t>SQL 차이</w:t>
            </w:r>
          </w:p>
        </w:tc>
        <w:tc>
          <w:tcPr>
            <w:tcW w:type="dxa" w:w="27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KR" w:hAnsi="Noto Sans CJK KR"/>
                <w:color w:val="202124"/>
                <w:sz w:val="17"/>
              </w:rPr>
              <w:t>실거래 검증</w:t>
            </w:r>
          </w:p>
        </w:tc>
      </w:tr>
    </w:tbl>
    <w:p/>
    <w:p>
      <w:pPr>
        <w:pStyle w:val="SourceRail"/>
      </w:pPr>
      <w:r>
        <w:t>Source 길찾기 cpf-tools/db/vendor/oracle</w:t>
      </w:r>
    </w:p>
    <w:p>
      <w:pPr>
        <w:pStyle w:val="Heading1"/>
        <w:keepNext/>
        <w:keepLines/>
        <w:widowControl/>
      </w:pPr>
      <w:r>
        <w:t>8. Runtime Query·Performance</w:t>
      </w:r>
    </w:p>
    <w:p>
      <w:pPr>
        <w:pStyle w:val="Heading2"/>
        <w:keepNext/>
        <w:keepLines/>
        <w:widowControl/>
      </w:pPr>
      <w:r>
        <w:t>8.1 Runtime Query</w:t>
      </w:r>
    </w:p>
    <w:p>
      <w:pPr>
        <w:pStyle w:val="BodyRail"/>
      </w:pPr>
      <w:r>
        <w:t>Runtime Query와 Repository/Mapper는 적용된 Schema와 동일 계약을 사용합니다. Migration 완료 전에 신규 Query를 먼저 배포하지 않고 index/lock 영향을 실제 실행에서 확인합니다.</w:t>
      </w:r>
    </w:p>
    <w:p>
      <w:pPr>
        <w:pStyle w:val="BodyRail"/>
      </w:pPr>
      <w:r>
        <w:t>Runtime Query와 Repository/Mapper는 적용된 Schema와 동일 계약을 사용해야 하며 Migration 완료 전 신규 Query를 먼저 배포하지 않습니다.</w:t>
      </w:r>
    </w:p>
    <w:p>
      <w:pPr>
        <w:pStyle w:val="Heading2"/>
        <w:keepNext/>
        <w:keepLines/>
        <w:widowControl/>
      </w:pPr>
      <w:r>
        <w:t>8.2 Performance</w:t>
      </w:r>
    </w:p>
    <w:p>
      <w:pPr>
        <w:pStyle w:val="BodyRail"/>
      </w:pPr>
      <w:r>
        <w:t>성능 판단은 TPS 하나가 아니라 latency, DB lock/query, 외부 연계 backlog, Worker 수, resource saturation을 함께 봅니다. 용량 변경은 장애 격리와 replay 폭증 가능성까지 확인합니다.</w:t>
      </w:r>
    </w:p>
    <w:p>
      <w:pPr>
        <w:pStyle w:val="BulletRail"/>
      </w:pPr>
      <w:r>
        <w:t>•  대량 작업은 샘플 성공이 아니라 최대/경계 규모에서 측정합니다.</w:t>
      </w:r>
    </w:p>
    <w:p>
      <w:pPr>
        <w:pStyle w:val="BulletRail"/>
      </w:pPr>
      <w:r>
        <w:t>•  Scale-out 시 shared state와 idempotency/lease가 다중 인스턴스를 견뎌야 합니다.</w:t>
      </w:r>
    </w:p>
    <w:p>
      <w:pPr>
        <w:pStyle w:val="Heading2"/>
        <w:keepNext/>
        <w:keepLines/>
        <w:widowControl/>
      </w:pPr>
      <w:r>
        <w:t>8.3 Lock/Query 영향</w:t>
      </w:r>
    </w:p>
    <w:p>
      <w:pPr>
        <w:pStyle w:val="BodyRail"/>
      </w:pPr>
      <w:r>
        <w:t>Runtime Query가 lock을 획득하거나 장시간 유지하는 경우 실행계획, lock wait, timeout과 대상 row 범위를 함께 측정해 처리량·교착 위험을 확인합니다.</w:t>
      </w:r>
    </w:p>
    <w:p>
      <w:pPr>
        <w:pStyle w:val="BulletRail"/>
      </w:pPr>
      <w:r>
        <w:t>•  lease 기반 lock은 만료와 fencing token을 함께 검토합니다.</w:t>
      </w:r>
    </w:p>
    <w:p>
      <w:pPr>
        <w:pStyle w:val="BulletRail"/>
      </w:pPr>
      <w:r>
        <w:t>•  lock 대기시간을 transaction timeout보다 길게 두지 않습니다.</w:t>
      </w:r>
    </w:p>
    <w:p>
      <w:pPr>
        <w:pStyle w:val="BodyRail"/>
      </w:pPr>
      <w:r>
        <w:t>실제 Runtime Query의 index·lock·timeout 영향과 금지 패턴을 확인합니다.</w:t>
      </w:r>
    </w:p>
    <w:p>
      <w:pPr>
        <w:pStyle w:val="SourceRail"/>
      </w:pPr>
      <w:r>
        <w:t>Source 길찾기 cpf-starters/data/src/main/java/com/cpf/data/lock/api/CpfLockManager.java</w:t>
      </w:r>
    </w:p>
    <w:p>
      <w:pPr>
        <w:pStyle w:val="Heading1"/>
        <w:keepNext/>
        <w:keepLines/>
        <w:widowControl/>
      </w:pPr>
      <w:r>
        <w:t>9. Schema Mismatch·Generator Binding</w:t>
      </w:r>
    </w:p>
    <w:p>
      <w:pPr>
        <w:pStyle w:val="Heading2"/>
        <w:keepNext/>
        <w:keepLines/>
        <w:widowControl/>
      </w:pPr>
      <w:r>
        <w:t>9.1 Schema Mismatch</w:t>
      </w:r>
    </w:p>
    <w:p>
      <w:pPr>
        <w:pStyle w:val="BodyRail"/>
      </w:pPr>
      <w:r>
        <w:t>Runtime이 기대하는 Schema와 실제 DB가 다르면 조용히 우회하지 않고 mismatch를 식별해 Migration/Recovery 또는 배포 중단으로 연결합니다.</w:t>
      </w:r>
    </w:p>
    <w:p>
      <w:pPr>
        <w:pStyle w:val="Heading2"/>
        <w:keepNext/>
        <w:keepLines/>
        <w:widowControl/>
      </w:pPr>
      <w:r>
        <w:t>9.2 Generator/DB Binding</w:t>
      </w:r>
    </w:p>
    <w:p>
      <w:pPr>
        <w:pStyle w:val="BodyRail"/>
      </w:pPr>
      <w:r>
        <w:t>Generator가 만든 Domain의 datasource, migration, repository 설정은 Canonical DB Catalog를 따라야 합니다. 개별 Domain이 Vendor 전용 경로를 수동 추가해 parity를 깨지 않습니다.</w:t>
      </w:r>
    </w:p>
    <w:p>
      <w:pPr>
        <w:pStyle w:val="BodyRail"/>
      </w:pPr>
      <w:r>
        <w:t>Generator가 만든 Domain의 DB 설정과 migration 연결은 Canonical DB Catalog를 따라야 하며 수동 Vendor 전용 설정으로 우회하지 않습니다.</w:t>
      </w:r>
    </w:p>
    <w:p>
      <w:pPr>
        <w:pStyle w:val="Heading2"/>
        <w:keepNext/>
        <w:keepLines/>
        <w:widowControl/>
      </w:pPr>
      <w:r>
        <w:t>9.3 Vendor Difference</w:t>
      </w:r>
    </w:p>
    <w:p>
      <w:pPr>
        <w:pStyle w:val="BodyRail"/>
      </w:pPr>
      <w:r>
        <w:t>Vendor Difference 검증은 같은 Canonical Schema가 Oracle·PostgreSQL·MariaDB에서 동일 constraint·identity·query 의미를 갖는지 비교합니다.</w:t>
      </w:r>
    </w:p>
    <w:p>
      <w:pPr>
        <w:pStyle w:val="BulletRail"/>
      </w:pPr>
      <w:r>
        <w:t>•  Vendor별 DDL/Query 차이는 Canonical 의미를 바꾸지 않는 범위에서만 허용합니다.</w:t>
      </w:r>
    </w:p>
    <w:p>
      <w:pPr>
        <w:pStyle w:val="BulletRail"/>
      </w:pPr>
      <w:r>
        <w:t>•  같은 Schema change를 DB3에 적용해 constraint·identity·runtime query 결과를 비교합니다.</w:t>
      </w:r>
    </w:p>
    <w:p>
      <w:pPr>
        <w:pStyle w:val="BodyRail"/>
      </w:pPr>
      <w:r>
        <w:t>같은 Canonical Schema가 DB3에서 동일한 제약·identity·query 의미를 유지하는지 비교합니다.</w:t>
      </w:r>
    </w:p>
    <w:p>
      <w:pPr>
        <w:pStyle w:val="TableTitle"/>
        <w:keepNext/>
        <w:keepLines/>
        <w:widowControl/>
      </w:pPr>
      <w:r>
        <w:t>표 9-1. 항목 / Oracle / PostgreSQL / MariaDB</w:t>
      </w:r>
    </w:p>
    <w:p>
      <w:pPr>
        <w:pStyle w:val="TablePurpose"/>
        <w:keepNext/>
        <w:keepLines/>
        <w:widowControl/>
      </w:pPr>
      <w:r>
        <w:t>비교·선택·확인에 필요한 항목만 압축해 정리합니다.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720"/>
        <w:gridCol w:w="2720"/>
        <w:gridCol w:w="2720"/>
        <w:gridCol w:w="2720"/>
      </w:tblGrid>
      <w:tr>
        <w:trPr>
          <w:cantSplit/>
          <w:tblHeader w:val="true"/>
        </w:trPr>
        <w:tc>
          <w:tcPr>
            <w:tcW w:type="dxa" w:w="27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17324D"/>
          </w:tcPr>
          <w:p>
            <w:r>
              <w:rPr>
                <w:rFonts w:ascii="Noto Sans CJK KR" w:hAnsi="Noto Sans CJK KR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27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17324D"/>
          </w:tcPr>
          <w:p>
            <w:r>
              <w:rPr>
                <w:rFonts w:ascii="Noto Sans CJK KR" w:hAnsi="Noto Sans CJK KR"/>
                <w:b/>
                <w:color w:val="FFFFFF"/>
                <w:sz w:val="17"/>
              </w:rPr>
              <w:t>Oracle</w:t>
            </w:r>
          </w:p>
        </w:tc>
        <w:tc>
          <w:tcPr>
            <w:tcW w:type="dxa" w:w="27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17324D"/>
          </w:tcPr>
          <w:p>
            <w:r>
              <w:rPr>
                <w:rFonts w:ascii="Noto Sans CJK KR" w:hAnsi="Noto Sans CJK KR"/>
                <w:b/>
                <w:color w:val="FFFFFF"/>
                <w:sz w:val="17"/>
              </w:rPr>
              <w:t>PostgreSQL</w:t>
            </w:r>
          </w:p>
        </w:tc>
        <w:tc>
          <w:tcPr>
            <w:tcW w:type="dxa" w:w="27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17324D"/>
          </w:tcPr>
          <w:p>
            <w:r>
              <w:rPr>
                <w:rFonts w:ascii="Noto Sans CJK KR" w:hAnsi="Noto Sans CJK KR"/>
                <w:b/>
                <w:color w:val="FFFFFF"/>
                <w:sz w:val="17"/>
              </w:rPr>
              <w:t>MariaDB</w:t>
            </w:r>
          </w:p>
        </w:tc>
      </w:tr>
      <w:tr>
        <w:trPr>
          <w:cantSplit/>
        </w:trPr>
        <w:tc>
          <w:tcPr>
            <w:tcW w:type="dxa" w:w="27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4F7FA"/>
          </w:tcPr>
          <w:p>
            <w:pPr>
              <w:spacing w:after="0" w:line="252" w:lineRule="auto"/>
            </w:pPr>
            <w:r>
              <w:rPr>
                <w:rFonts w:ascii="Noto Sans CJK KR" w:hAnsi="Noto Sans CJK KR"/>
                <w:color w:val="202124"/>
                <w:sz w:val="17"/>
              </w:rPr>
              <w:t>공식 지원</w:t>
            </w:r>
          </w:p>
        </w:tc>
        <w:tc>
          <w:tcPr>
            <w:tcW w:type="dxa" w:w="27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KR" w:hAnsi="Noto Sans CJK KR"/>
                <w:color w:val="202124"/>
                <w:sz w:val="17"/>
              </w:rPr>
              <w:t>지원</w:t>
            </w:r>
          </w:p>
        </w:tc>
        <w:tc>
          <w:tcPr>
            <w:tcW w:type="dxa" w:w="27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KR" w:hAnsi="Noto Sans CJK KR"/>
                <w:color w:val="202124"/>
                <w:sz w:val="17"/>
              </w:rPr>
              <w:t>지원</w:t>
            </w:r>
          </w:p>
        </w:tc>
        <w:tc>
          <w:tcPr>
            <w:tcW w:type="dxa" w:w="27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KR" w:hAnsi="Noto Sans CJK KR"/>
                <w:color w:val="202124"/>
                <w:sz w:val="17"/>
              </w:rPr>
              <w:t>지원</w:t>
            </w:r>
          </w:p>
        </w:tc>
      </w:tr>
      <w:tr>
        <w:trPr>
          <w:cantSplit/>
        </w:trPr>
        <w:tc>
          <w:tcPr>
            <w:tcW w:type="dxa" w:w="27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4F7FA"/>
          </w:tcPr>
          <w:p>
            <w:pPr>
              <w:spacing w:after="0" w:line="252" w:lineRule="auto"/>
            </w:pPr>
            <w:r>
              <w:rPr>
                <w:rFonts w:ascii="Noto Sans CJK KR" w:hAnsi="Noto Sans CJK KR"/>
                <w:color w:val="202124"/>
                <w:sz w:val="17"/>
              </w:rPr>
              <w:t>Canonical 의미</w:t>
            </w:r>
          </w:p>
        </w:tc>
        <w:tc>
          <w:tcPr>
            <w:tcW w:type="dxa" w:w="27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KR" w:hAnsi="Noto Sans CJK KR"/>
                <w:color w:val="202124"/>
                <w:sz w:val="17"/>
              </w:rPr>
              <w:t>공통</w:t>
            </w:r>
          </w:p>
        </w:tc>
        <w:tc>
          <w:tcPr>
            <w:tcW w:type="dxa" w:w="27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KR" w:hAnsi="Noto Sans CJK KR"/>
                <w:color w:val="202124"/>
                <w:sz w:val="17"/>
              </w:rPr>
              <w:t>공통</w:t>
            </w:r>
          </w:p>
        </w:tc>
        <w:tc>
          <w:tcPr>
            <w:tcW w:type="dxa" w:w="27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KR" w:hAnsi="Noto Sans CJK KR"/>
                <w:color w:val="202124"/>
                <w:sz w:val="17"/>
              </w:rPr>
              <w:t>공통</w:t>
            </w:r>
          </w:p>
        </w:tc>
      </w:tr>
      <w:tr>
        <w:trPr>
          <w:cantSplit/>
        </w:trPr>
        <w:tc>
          <w:tcPr>
            <w:tcW w:type="dxa" w:w="27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4F7FA"/>
          </w:tcPr>
          <w:p>
            <w:pPr>
              <w:spacing w:after="0" w:line="252" w:lineRule="auto"/>
            </w:pPr>
            <w:r>
              <w:rPr>
                <w:rFonts w:ascii="Noto Sans CJK KR" w:hAnsi="Noto Sans CJK KR"/>
                <w:color w:val="202124"/>
                <w:sz w:val="17"/>
              </w:rPr>
              <w:t>Vendor Render</w:t>
            </w:r>
          </w:p>
        </w:tc>
        <w:tc>
          <w:tcPr>
            <w:tcW w:type="dxa" w:w="27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KR" w:hAnsi="Noto Sans CJK KR"/>
                <w:color w:val="202124"/>
                <w:sz w:val="17"/>
              </w:rPr>
              <w:t>oracle</w:t>
            </w:r>
          </w:p>
        </w:tc>
        <w:tc>
          <w:tcPr>
            <w:tcW w:type="dxa" w:w="27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KR" w:hAnsi="Noto Sans CJK KR"/>
                <w:color w:val="202124"/>
                <w:sz w:val="17"/>
              </w:rPr>
              <w:t>postgresql</w:t>
            </w:r>
          </w:p>
        </w:tc>
        <w:tc>
          <w:tcPr>
            <w:tcW w:type="dxa" w:w="27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KR" w:hAnsi="Noto Sans CJK KR"/>
                <w:color w:val="202124"/>
                <w:sz w:val="17"/>
              </w:rPr>
              <w:t>mariadb</w:t>
            </w:r>
          </w:p>
        </w:tc>
      </w:tr>
      <w:tr>
        <w:trPr>
          <w:cantSplit/>
        </w:trPr>
        <w:tc>
          <w:tcPr>
            <w:tcW w:type="dxa" w:w="27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4F7FA"/>
          </w:tcPr>
          <w:p>
            <w:pPr>
              <w:spacing w:after="0" w:line="252" w:lineRule="auto"/>
            </w:pPr>
            <w:r>
              <w:rPr>
                <w:rFonts w:ascii="Noto Sans CJK KR" w:hAnsi="Noto Sans CJK KR"/>
                <w:color w:val="202124"/>
                <w:sz w:val="17"/>
              </w:rPr>
              <w:t>검증</w:t>
            </w:r>
          </w:p>
        </w:tc>
        <w:tc>
          <w:tcPr>
            <w:tcW w:type="dxa" w:w="27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KR" w:hAnsi="Noto Sans CJK KR"/>
                <w:color w:val="202124"/>
                <w:sz w:val="17"/>
              </w:rPr>
              <w:t>DDL·Runtime</w:t>
            </w:r>
          </w:p>
        </w:tc>
        <w:tc>
          <w:tcPr>
            <w:tcW w:type="dxa" w:w="27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KR" w:hAnsi="Noto Sans CJK KR"/>
                <w:color w:val="202124"/>
                <w:sz w:val="17"/>
              </w:rPr>
              <w:t>DDL·Runtime</w:t>
            </w:r>
          </w:p>
        </w:tc>
        <w:tc>
          <w:tcPr>
            <w:tcW w:type="dxa" w:w="27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KR" w:hAnsi="Noto Sans CJK KR"/>
                <w:color w:val="202124"/>
                <w:sz w:val="17"/>
              </w:rPr>
              <w:t>DDL·Runtime</w:t>
            </w:r>
          </w:p>
        </w:tc>
      </w:tr>
    </w:tbl>
    <w:p/>
    <w:p>
      <w:pPr>
        <w:pStyle w:val="SourceRail"/>
      </w:pPr>
      <w:r>
        <w:t>Source 길찾기 cpf-tools/db/vendor/oracle</w:t>
      </w:r>
    </w:p>
    <w:p>
      <w:pPr>
        <w:pStyle w:val="Heading1"/>
        <w:keepNext/>
        <w:keepLines/>
        <w:widowControl/>
      </w:pPr>
      <w:r>
        <w:t>10. Validation·Evidence</w:t>
      </w:r>
    </w:p>
    <w:p>
      <w:pPr>
        <w:pStyle w:val="Heading2"/>
        <w:keepNext/>
        <w:keepLines/>
        <w:widowControl/>
      </w:pPr>
      <w:r>
        <w:t>10.1 검증 항목</w:t>
      </w:r>
    </w:p>
    <w:p>
      <w:pPr>
        <w:pStyle w:val="BodyRail"/>
      </w:pPr>
      <w:r>
        <w:t>검증은 Unit/Integration 일부 PASS가 아니라 정상·오류·경계·부분 실패·UNKNOWN·복구·재실행까지 영향 Lifecycle을 확인합니다.</w:t>
      </w:r>
    </w:p>
    <w:p>
      <w:pPr>
        <w:pStyle w:val="BulletRail"/>
      </w:pPr>
      <w:r>
        <w:t>•  실행하지 않은 Test는 PASS로 기록하지 않습니다.</w:t>
      </w:r>
    </w:p>
    <w:p>
      <w:pPr>
        <w:pStyle w:val="BulletRail"/>
      </w:pPr>
      <w:r>
        <w:t>•  Source identity, 명령, ExitCode, Evidence를 같은 실행 결과에 연결합니다.</w:t>
      </w:r>
    </w:p>
    <w:p>
      <w:pPr>
        <w:pStyle w:val="Heading2"/>
        <w:keepNext/>
        <w:keepLines/>
        <w:widowControl/>
      </w:pPr>
      <w:r>
        <w:t>10.2 Runtime Evidence</w:t>
      </w:r>
    </w:p>
    <w:p>
      <w:pPr>
        <w:pStyle w:val="BodyRail"/>
      </w:pPr>
      <w:r>
        <w:t>Runtime Evidence는 실제 DB3 Query 결과, migration history, index/FK/lock 상태와 Runtime Trace를 포함해야 합니다. SQL 파일 존재만으로 적용 성공을 판정하지 않습니다.</w:t>
      </w:r>
    </w:p>
    <w:p>
      <w:pPr>
        <w:pStyle w:val="BodyRail"/>
      </w:pPr>
      <w:r>
        <w:t>Runtime Evidence는 실제 DB3 Query/History/Trace와 적용 migration version을 확인해 문서상 DDL 존재만으로 성공 처리하지 않습니다.</w:t>
      </w:r>
    </w:p>
    <w:p>
      <w:pPr>
        <w:pStyle w:val="Heading2"/>
        <w:keepNext/>
        <w:keepLines/>
        <w:widowControl/>
      </w:pPr>
      <w:r>
        <w:t>10.3 Rollback/Recovery Evidence</w:t>
      </w:r>
    </w:p>
    <w:p>
      <w:pPr>
        <w:pStyle w:val="BodyRail"/>
      </w:pPr>
      <w:r>
        <w:t>Rollback/Recovery Evidence에는 기준 Source, 대상 Vendor, 실행 명령, 변경 전후 상태, ExitCode와 복구 결과를 같은 실행 기록으로 남깁니다.</w:t>
      </w:r>
    </w:p>
    <w:p>
      <w:pPr>
        <w:pStyle w:val="BulletRail"/>
      </w:pPr>
      <w:r>
        <w:t>•  Evidence에는 실제 rollback 또는 recovery 실행 결과와 복구 후 query 검증을 포함합니다.</w:t>
      </w:r>
    </w:p>
    <w:p>
      <w:pPr>
        <w:pStyle w:val="BodyRail"/>
      </w:pPr>
      <w:r>
        <w:t>정상·실패·복구까지 통과해야 할 시나리오를 확인합니다.</w:t>
      </w:r>
    </w:p>
    <w:p>
      <w:pPr>
        <w:pStyle w:val="SourceRail"/>
      </w:pPr>
      <w:r>
        <w:t>Source 길찾기 cpf-tools/db/vendor/oracle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510" w:right="680" w:bottom="510" w:left="680" w:header="255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F738A"/>
        <w:sz w:val="16"/>
      </w:rPr>
      <w:t xml:space="preserve">Harness v2.1.0  ·  Source 054d894b47f4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5F738A"/>
        <w:sz w:val="16"/>
      </w:rPr>
      <w:t>CPF  |  Core Platform Framework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1" w:lineRule="auto"/>
    </w:pPr>
    <w:rPr>
      <w:rFonts w:ascii="Noto Sans CJK KR" w:hAnsi="Noto Sans CJK KR"/>
      <w:color w:val="202124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560" w:after="240"/>
      <w:outlineLvl w:val="0"/>
    </w:pPr>
    <w:rPr>
      <w:rFonts w:asciiTheme="majorHAnsi" w:eastAsiaTheme="majorEastAsia" w:hAnsiTheme="majorHAnsi" w:cstheme="majorBidi" w:ascii="Noto Sans CJK KR" w:hAnsi="Noto Sans CJK KR"/>
      <w:b/>
      <w:bCs/>
      <w:color w:val="17324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70"/>
      <w:outlineLvl w:val="1"/>
    </w:pPr>
    <w:rPr>
      <w:rFonts w:asciiTheme="majorHAnsi" w:eastAsiaTheme="majorEastAsia" w:hAnsiTheme="majorHAnsi" w:cstheme="majorBidi" w:ascii="Noto Sans CJK KR" w:hAnsi="Noto Sans CJK KR"/>
      <w:b/>
      <w:bCs/>
      <w:color w:val="17324D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Theme="majorHAnsi" w:eastAsiaTheme="majorEastAsia" w:hAnsiTheme="majorHAnsi" w:cstheme="majorBidi" w:ascii="Noto Sans CJK KR" w:hAnsi="Noto Sans CJK KR"/>
      <w:b/>
      <w:bCs/>
      <w:color w:val="2563EB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Noto Sans CJK KR" w:hAnsi="Noto Sans CJK KR"/>
      <w:b/>
      <w:color w:val="17324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00"/>
    </w:pPr>
    <w:rPr>
      <w:rFonts w:asciiTheme="majorHAnsi" w:eastAsiaTheme="majorEastAsia" w:hAnsiTheme="majorHAnsi" w:cstheme="majorBidi" w:ascii="Noto Sans CJK KR" w:hAnsi="Noto Sans CJK KR"/>
      <w:b w:val="0"/>
      <w:i/>
      <w:iCs/>
      <w:color w:val="60738A"/>
      <w:spacing w:val="15"/>
      <w:sz w:val="23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Rail">
    <w:name w:val="Body Rail"/>
    <w:pPr>
      <w:spacing w:after="100"/>
      <w:ind w:left="255"/>
    </w:pPr>
    <w:rPr>
      <w:rFonts w:ascii="Noto Sans CJK KR" w:hAnsi="Noto Sans CJK KR"/>
      <w:b w:val="0"/>
      <w:color w:val="202124"/>
      <w:sz w:val="20"/>
    </w:rPr>
  </w:style>
  <w:style w:type="paragraph" w:customStyle="1" w:styleId="BulletRail">
    <w:name w:val="Bullet Rail"/>
    <w:pPr>
      <w:spacing w:after="60"/>
      <w:ind w:left="425" w:hanging="170"/>
    </w:pPr>
    <w:rPr>
      <w:rFonts w:ascii="Noto Sans CJK KR" w:hAnsi="Noto Sans CJK KR"/>
      <w:b w:val="0"/>
      <w:color w:val="202124"/>
      <w:sz w:val="20"/>
    </w:rPr>
  </w:style>
  <w:style w:type="paragraph" w:customStyle="1" w:styleId="FigureCaption">
    <w:name w:val="Figure Caption"/>
    <w:pPr>
      <w:spacing w:after="60"/>
    </w:pPr>
    <w:rPr>
      <w:rFonts w:ascii="Noto Sans CJK KR" w:hAnsi="Noto Sans CJK KR"/>
      <w:b/>
      <w:color w:val="17324D"/>
      <w:sz w:val="18"/>
    </w:rPr>
  </w:style>
  <w:style w:type="paragraph" w:customStyle="1" w:styleId="FigureExplain">
    <w:name w:val="Figure Explain"/>
    <w:pPr>
      <w:spacing w:after="160"/>
      <w:ind w:left="255"/>
    </w:pPr>
    <w:rPr>
      <w:rFonts w:ascii="Noto Sans CJK KR" w:hAnsi="Noto Sans CJK KR"/>
      <w:b w:val="0"/>
      <w:color w:val="60738A"/>
      <w:sz w:val="18"/>
    </w:rPr>
  </w:style>
  <w:style w:type="paragraph" w:customStyle="1" w:styleId="SourceRail">
    <w:name w:val="Source Rail"/>
    <w:pPr>
      <w:spacing w:after="120"/>
      <w:ind w:left="255"/>
    </w:pPr>
    <w:rPr>
      <w:rFonts w:ascii="Noto Sans CJK KR" w:hAnsi="Noto Sans CJK KR"/>
      <w:b w:val="0"/>
      <w:color w:val="2563EB"/>
      <w:sz w:val="18"/>
    </w:rPr>
  </w:style>
  <w:style w:type="paragraph" w:customStyle="1" w:styleId="TableTitle">
    <w:name w:val="Table Title"/>
    <w:pPr>
      <w:spacing w:after="40"/>
    </w:pPr>
    <w:rPr>
      <w:rFonts w:ascii="Noto Sans CJK KR" w:hAnsi="Noto Sans CJK KR"/>
      <w:b/>
      <w:color w:val="17324D"/>
      <w:sz w:val="20"/>
    </w:rPr>
  </w:style>
  <w:style w:type="paragraph" w:customStyle="1" w:styleId="TablePurpose">
    <w:name w:val="Table Purpose"/>
    <w:pPr>
      <w:spacing w:after="100"/>
    </w:pPr>
    <w:rPr>
      <w:rFonts w:ascii="Noto Sans CJK KR" w:hAnsi="Noto Sans CJK KR"/>
      <w:b w:val="0"/>
      <w:color w:val="60738A"/>
      <w:sz w:val="18"/>
    </w:rPr>
  </w:style>
  <w:style w:type="paragraph" w:customStyle="1" w:styleId="TOC1">
    <w:name w:val="TOC 1"/>
    <w:pPr>
      <w:spacing w:after="40"/>
    </w:pPr>
    <w:rPr>
      <w:rFonts w:ascii="Noto Sans CJK KR" w:hAnsi="Noto Sans CJK KR"/>
      <w:b/>
      <w:color w:val="17324D"/>
      <w:sz w:val="21"/>
    </w:rPr>
  </w:style>
  <w:style w:type="paragraph" w:customStyle="1" w:styleId="TOC2">
    <w:name w:val="TOC 2"/>
    <w:pPr>
      <w:spacing w:after="20"/>
      <w:ind w:left="340"/>
    </w:pPr>
    <w:rPr>
      <w:rFonts w:ascii="Noto Sans CJK KR" w:hAnsi="Noto Sans CJK KR"/>
      <w:b w:val="0"/>
      <w:color w:val="60738A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