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880"/>
      </w:tblGrid>
      <w:tr>
        <w:tc>
          <w:tcPr>
            <w:tcW w:type="dxa" w:w="10880"/>
            <w:shd w:fill="0B2137"/>
            <w:tcMar>
              <w:top w:w="220" w:type="dxa"/>
              <w:start w:w="260" w:type="dxa"/>
              <w:bottom w:w="220" w:type="dxa"/>
              <w:end w:w="260" w:type="dxa"/>
            </w:tcMar>
          </w:tcPr>
          <w:p>
            <w:r>
              <w:rPr>
                <w:rFonts w:ascii="Noto Sans CJK KR" w:hAnsi="Noto Sans CJK KR"/>
                <w:b/>
                <w:color w:val="FFFFFF"/>
                <w:sz w:val="28"/>
              </w:rPr>
              <w:t>CPF  |  Core Platform Framework</w:t>
            </w:r>
          </w:p>
          <w:p>
            <w:pPr>
              <w:spacing w:before="80" w:after="0"/>
            </w:pPr>
            <w:r>
              <w:rPr>
                <w:rFonts w:ascii="Noto Sans CJK KR" w:hAnsi="Noto Sans CJK KR"/>
                <w:color w:val="CFE2F5"/>
                <w:sz w:val="19"/>
              </w:rPr>
              <w:t>Business Platform Documentation</w:t>
            </w:r>
          </w:p>
        </w:tc>
        <w:trPr>
          <w:tblHeader/>
        </w:trPr>
      </w:tr>
    </w:tbl>
    <w:p>
      <w:pPr>
        <w:pStyle w:val="Title"/>
        <w:spacing w:before="680"/>
      </w:pPr>
      <w:r>
        <w:t>CPF 아키텍처설계서</w:t>
      </w:r>
    </w:p>
    <w:p>
      <w:pPr>
        <w:pStyle w:val="Subtitle"/>
        <w:spacing w:after="440"/>
      </w:pPr>
      <w:r>
        <w:t>Module Owner, Topology, Domain Invocation, Gateway, Batch, DB와 운영 경계를 한 구조로 설명합니다.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문서 기준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Documentation Harness v2.1.0</w:t>
            </w:r>
          </w:p>
        </w:tc>
        <w:trPr>
          <w:tblHeader/>
        </w:trPr>
      </w:tr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기준 Source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master 054d894b47f4be8323439dc6f9e58b7d8b60fe54</w:t>
            </w:r>
          </w:p>
        </w:tc>
      </w:tr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기준일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2026-08-26</w:t>
            </w:r>
          </w:p>
        </w:tc>
      </w:tr>
    </w:tbl>
    <w:p>
      <w:pPr>
        <w:pStyle w:val="Subtitle"/>
      </w:pPr>
      <w:r>
        <w:t>이 문서는 최신 Source의 공개 계약과 운영 경계를 기준으로 작성하며, 실행하지 않은 검증을 성공으로 기록하지 않습니다.</w:t>
      </w:r>
    </w:p>
    <w:p>
      <w:r>
        <w:br w:type="page"/>
      </w:r>
    </w:p>
    <w:p>
      <w:pPr>
        <w:pStyle w:val="Title"/>
      </w:pPr>
      <w:r>
        <w:t>목차</w:t>
      </w:r>
    </w:p>
    <w:p>
      <w:pPr>
        <w:pStyle w:val="Subtitle"/>
      </w:pPr>
      <w:r>
        <w:t>역할과 질문을 기준으로 필요한 절을 빠르게 찾습니다.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tcMar>
              <w:top w:w="0" w:type="dxa"/>
              <w:start w:w="0" w:type="dxa"/>
              <w:bottom w:w="0" w:type="dxa"/>
              <w:end w:w="13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TOC1"/>
              <w:spacing w:after="28"/>
            </w:pPr>
            <w:r/>
            <w:r>
              <w:t>1. Architecture 원칙과 Module Ownership</w:t>
            </w:r>
          </w:p>
          <w:p>
            <w:pPr>
              <w:pStyle w:val="TOC2"/>
              <w:spacing w:after="12"/>
            </w:pPr>
            <w:r>
              <w:t>1.1 Owner와 책임</w:t>
            </w:r>
          </w:p>
          <w:p>
            <w:pPr>
              <w:pStyle w:val="TOC2"/>
              <w:spacing w:after="12"/>
            </w:pPr>
            <w:r>
              <w:t>1.2 Dependency 방향</w:t>
            </w:r>
          </w:p>
          <w:p>
            <w:pPr>
              <w:pStyle w:val="TOC2"/>
              <w:spacing w:after="12"/>
            </w:pPr>
            <w:r>
              <w:t>1.3 Public/SPI/Internal 경계</w:t>
            </w:r>
          </w:p>
          <w:p>
            <w:pPr>
              <w:pStyle w:val="TOC1"/>
              <w:spacing w:after="28"/>
            </w:pPr>
            <w:r>
              <w:t>2. CPF 전체 Architecture Map</w:t>
            </w:r>
          </w:p>
          <w:p>
            <w:pPr>
              <w:pStyle w:val="TOC2"/>
              <w:spacing w:after="12"/>
            </w:pPr>
            <w:r>
              <w:t>2.1 Business Domain</w:t>
            </w:r>
          </w:p>
          <w:p>
            <w:pPr>
              <w:pStyle w:val="TOC2"/>
              <w:spacing w:after="12"/>
            </w:pPr>
            <w:r>
              <w:t>2.2 Framework/Starter/Common</w:t>
            </w:r>
          </w:p>
          <w:p>
            <w:pPr>
              <w:pStyle w:val="TOC2"/>
              <w:spacing w:after="12"/>
            </w:pPr>
            <w:r>
              <w:t>2.3 Gateway/Backoffice</w:t>
            </w:r>
          </w:p>
          <w:p>
            <w:pPr>
              <w:pStyle w:val="TOC2"/>
              <w:spacing w:after="12"/>
            </w:pPr>
            <w:r>
              <w:t>2.4 Batch</w:t>
            </w:r>
          </w:p>
          <w:p>
            <w:pPr>
              <w:pStyle w:val="TOC2"/>
              <w:spacing w:after="12"/>
            </w:pPr>
            <w:r>
              <w:t>2.5 DB/Operations</w:t>
            </w:r>
          </w:p>
          <w:p>
            <w:pPr>
              <w:pStyle w:val="TOC1"/>
              <w:spacing w:after="28"/>
            </w:pPr>
            <w:r>
              <w:t>3. Same JVM·Remote·Domain Invocation</w:t>
            </w:r>
          </w:p>
          <w:p>
            <w:pPr>
              <w:pStyle w:val="TOC2"/>
              <w:spacing w:after="12"/>
            </w:pPr>
            <w:r>
              <w:t>3.1 Same JVM</w:t>
            </w:r>
          </w:p>
          <w:p>
            <w:pPr>
              <w:pStyle w:val="TOC2"/>
              <w:spacing w:after="12"/>
            </w:pPr>
            <w:r>
              <w:t>3.2 Remote/MSA</w:t>
            </w:r>
          </w:p>
          <w:p>
            <w:pPr>
              <w:pStyle w:val="TOC2"/>
              <w:spacing w:after="12"/>
            </w:pPr>
            <w:r>
              <w:t>3.3 Domain Invocation</w:t>
            </w:r>
          </w:p>
          <w:p>
            <w:pPr>
              <w:pStyle w:val="TOC2"/>
              <w:spacing w:after="12"/>
            </w:pPr>
            <w:r>
              <w:t>3.4 Self-HTTP 금지</w:t>
            </w:r>
          </w:p>
          <w:p>
            <w:pPr>
              <w:pStyle w:val="TOC1"/>
              <w:spacing w:after="28"/>
            </w:pPr>
            <w:r>
              <w:t>4. Context·Security Boundary</w:t>
            </w:r>
          </w:p>
          <w:p>
            <w:pPr>
              <w:pStyle w:val="TOC2"/>
              <w:spacing w:after="12"/>
            </w:pPr>
            <w:r>
              <w:t>4.1 System6</w:t>
            </w:r>
          </w:p>
          <w:p>
            <w:pPr>
              <w:pStyle w:val="TOC2"/>
              <w:spacing w:after="12"/>
            </w:pPr>
            <w:r>
              <w:t>4.2 Trust/Security Boundary</w:t>
            </w:r>
          </w:p>
          <w:p>
            <w:pPr>
              <w:pStyle w:val="TOC2"/>
              <w:spacing w:after="12"/>
            </w:pPr>
            <w:r>
              <w:t>4.3 Operation/Instance Identity</w:t>
            </w:r>
          </w:p>
        </w:tc>
        <w:tc>
          <w:tcPr>
            <w:tcW w:type="dxa" w:w="5440"/>
            <w:tcMar>
              <w:top w:w="0" w:type="dxa"/>
              <w:start w:w="0" w:type="dxa"/>
              <w:bottom w:w="0" w:type="dxa"/>
              <w:end w:w="13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TOC1"/>
              <w:spacing w:after="28"/>
            </w:pPr>
            <w:r/>
            <w:r>
              <w:t>5. Gateway·Backoffice</w:t>
            </w:r>
          </w:p>
          <w:p>
            <w:pPr>
              <w:pStyle w:val="TOC2"/>
              <w:spacing w:after="12"/>
            </w:pPr>
            <w:r>
              <w:t>5.1 Gateway Optionality</w:t>
            </w:r>
          </w:p>
          <w:p>
            <w:pPr>
              <w:pStyle w:val="TOC2"/>
              <w:spacing w:after="12"/>
            </w:pPr>
            <w:r>
              <w:t>5.2 Backoffice/Owner Domain 경계</w:t>
            </w:r>
          </w:p>
          <w:p>
            <w:pPr>
              <w:pStyle w:val="TOC1"/>
              <w:spacing w:after="28"/>
            </w:pPr>
            <w:r>
              <w:t>6. Batch Architecture</w:t>
            </w:r>
          </w:p>
          <w:p>
            <w:pPr>
              <w:pStyle w:val="TOC2"/>
              <w:spacing w:after="12"/>
            </w:pPr>
            <w:r>
              <w:t>6.1 Control Plane/Scheduler/Worker</w:t>
            </w:r>
          </w:p>
          <w:p>
            <w:pPr>
              <w:pStyle w:val="TOC2"/>
              <w:spacing w:after="12"/>
            </w:pPr>
            <w:r>
              <w:t>6.2 Center-Cut/Agent</w:t>
            </w:r>
          </w:p>
          <w:p>
            <w:pPr>
              <w:pStyle w:val="TOC2"/>
              <w:spacing w:after="12"/>
            </w:pPr>
            <w:r>
              <w:t>6.3 Lease/Fencing/Heartbeat</w:t>
            </w:r>
          </w:p>
          <w:p>
            <w:pPr>
              <w:pStyle w:val="TOC1"/>
              <w:spacing w:after="28"/>
            </w:pPr>
            <w:r>
              <w:t>7. Persistence·DB Ownership</w:t>
            </w:r>
          </w:p>
          <w:p>
            <w:pPr>
              <w:pStyle w:val="TOC2"/>
              <w:spacing w:after="12"/>
            </w:pPr>
            <w:r>
              <w:t>7.1 DB Owner</w:t>
            </w:r>
          </w:p>
          <w:p>
            <w:pPr>
              <w:pStyle w:val="TOC2"/>
              <w:spacing w:after="12"/>
            </w:pPr>
            <w:r>
              <w:t>7.2 Oracle/PostgreSQL/MariaDB</w:t>
            </w:r>
          </w:p>
          <w:p>
            <w:pPr>
              <w:pStyle w:val="TOC2"/>
              <w:spacing w:after="12"/>
            </w:pPr>
            <w:r>
              <w:t>7.3 Migration/Upgrade/Rollback 경계</w:t>
            </w:r>
          </w:p>
          <w:p>
            <w:pPr>
              <w:pStyle w:val="TOC1"/>
              <w:spacing w:after="28"/>
            </w:pPr>
            <w:r>
              <w:t>8. Observability·Multi-instance·HA</w:t>
            </w:r>
          </w:p>
          <w:p>
            <w:pPr>
              <w:pStyle w:val="TOC2"/>
              <w:spacing w:after="12"/>
            </w:pPr>
            <w:r>
              <w:t>8.1 Log/Trace/Timeline</w:t>
            </w:r>
          </w:p>
          <w:p>
            <w:pPr>
              <w:pStyle w:val="TOC2"/>
              <w:spacing w:after="12"/>
            </w:pPr>
            <w:r>
              <w:t>8.2 Multi-instance</w:t>
            </w:r>
          </w:p>
          <w:p>
            <w:pPr>
              <w:pStyle w:val="TOC2"/>
              <w:spacing w:after="12"/>
            </w:pPr>
            <w:r>
              <w:t>8.3 HA/Failure Domain</w:t>
            </w:r>
          </w:p>
          <w:p>
            <w:pPr>
              <w:pStyle w:val="TOC1"/>
              <w:spacing w:after="28"/>
            </w:pPr>
            <w:r>
              <w:t>9. Deployment·금지 패턴·Decision</w:t>
            </w:r>
          </w:p>
          <w:p>
            <w:pPr>
              <w:pStyle w:val="TOC2"/>
              <w:spacing w:after="12"/>
            </w:pPr>
            <w:r>
              <w:t>9.1 Deployment Topology</w:t>
            </w:r>
          </w:p>
          <w:p>
            <w:pPr>
              <w:pStyle w:val="TOC2"/>
              <w:spacing w:after="12"/>
            </w:pPr>
            <w:r>
              <w:t>9.2 금지 Architecture</w:t>
            </w:r>
          </w:p>
          <w:p>
            <w:pPr>
              <w:pStyle w:val="TOC2"/>
              <w:spacing w:after="12"/>
            </w:pPr>
            <w:r>
              <w:t>9.3 Topology Decision Matrix</w:t>
            </w:r>
          </w:p>
        </w:tc>
        <w:trPr>
          <w:tblHeader/>
        </w:trPr>
      </w:tr>
    </w:tbl>
    <w:p>
      <w:r>
        <w:br w:type="page"/>
      </w:r>
    </w:p>
    <w:p>
      <w:pPr>
        <w:pStyle w:val="Heading1"/>
        <w:keepNext/>
        <w:keepLines/>
        <w:widowControl/>
      </w:pPr>
      <w:r>
        <w:t>1. Architecture 원칙과 Module Ownership</w:t>
      </w:r>
    </w:p>
    <w:p>
      <w:pPr>
        <w:pStyle w:val="Heading2"/>
        <w:keepNext/>
        <w:keepLines/>
        <w:widowControl/>
      </w:pPr>
      <w:r>
        <w:t>1.1 Owner와 책임</w:t>
      </w:r>
    </w:p>
    <w:p>
      <w:pPr>
        <w:pStyle w:val="BodyRail"/>
      </w:pPr>
      <w:r>
        <w:t>Owner는 기능을 실제로 소유하고 변경 책임을 지는 Module을 뜻합니다. CPF는 기술 Kernel, 업무 공통, 운영, Batch, Gateway, Business Domain의 책임을 분리합니다.</w:t>
      </w:r>
    </w:p>
    <w:p>
      <w:pPr>
        <w:pStyle w:val="BulletRail"/>
      </w:pPr>
      <w:r>
        <w:t>•  다른 Owner의 internal package나 DB를 직접 참조하지 않습니다.</w:t>
      </w:r>
    </w:p>
    <w:p>
      <w:pPr>
        <w:pStyle w:val="BulletRail"/>
      </w:pPr>
      <w:r>
        <w:t>•  Public API/SPI를 Consumer가 실제 호출하는 경로로 연결합니다.</w:t>
      </w:r>
    </w:p>
    <w:p>
      <w:pPr>
        <w:pStyle w:val="Heading2"/>
        <w:keepNext/>
        <w:keepLines/>
        <w:widowControl/>
      </w:pPr>
      <w:r>
        <w:t>1.2 Dependency 방향</w:t>
      </w:r>
    </w:p>
    <w:p>
      <w:pPr>
        <w:pStyle w:val="BodyRail"/>
      </w:pPr>
      <w:r>
        <w:t>의존성은 Business Domain에서 Public Starter/API를 거쳐 Capability Runtime과 cpf-core Kernel 방향으로 흐릅니다. 역방향 또는 Owner 간 순환 의존은 허용하지 않습니다.</w:t>
      </w:r>
    </w:p>
    <w:p>
      <w:pPr>
        <w:pStyle w:val="BulletRail"/>
      </w:pPr>
      <w:r>
        <w:t>•  cpf-core는 Spring Runtime·Admin·Batch·Gateway 구현을 소유하지 않습니다.</w:t>
      </w:r>
    </w:p>
    <w:p>
      <w:pPr>
        <w:pStyle w:val="BulletRail"/>
      </w:pPr>
      <w:r>
        <w:t>•  Generated Domain은 Provider/Internal leaf를 직접 컴파일 Surface로 노출하지 않습니다.</w:t>
      </w:r>
    </w:p>
    <w:p>
      <w:pPr>
        <w:pStyle w:val="Heading2"/>
        <w:keepNext/>
        <w:keepLines/>
        <w:widowControl/>
      </w:pPr>
      <w:r>
        <w:t>1.3 Public/SPI/Internal 경계</w:t>
      </w:r>
    </w:p>
    <w:p>
      <w:pPr>
        <w:pStyle w:val="BodyRail"/>
      </w:pPr>
      <w:r>
        <w:t>Public API는 고객 Application이 직접 사용할 안정 계약이고 SPI는 확장 구현 계약입니다. Internal type은 Public BOM·Generated Domain compile surface에 노출하지 않습니다.</w:t>
      </w:r>
    </w:p>
    <w:p>
      <w:pPr>
        <w:pStyle w:val="BulletRail"/>
      </w:pPr>
      <w:r>
        <w:t>•  확장점에는 lifecycle·호환성·실패 의미를 함께 정의합니다.</w:t>
      </w:r>
    </w:p>
    <w:p>
      <w:pPr>
        <w:pStyle w:val="BulletRail"/>
      </w:pPr>
      <w:r>
        <w:t>•  Native Spring/OSS API가 더 적합한 경우 escape hatch를 유지합니다.</w:t>
      </w:r>
    </w:p>
    <w:p>
      <w:pPr>
        <w:pStyle w:val="BodyRail"/>
      </w:pPr>
      <w:r>
        <w:t>Module별 Owner 책임과 직접 참조 금지 경계를 확인합니다.</w:t>
      </w:r>
    </w:p>
    <w:p>
      <w:pPr>
        <w:pStyle w:val="TableTitle"/>
        <w:keepNext/>
        <w:keepLines/>
        <w:widowControl/>
      </w:pPr>
      <w:r>
        <w:t>표 1-1. 영역/Module / 책임 / 소유/경계 / 주요 Consumer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영역/Module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책임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소유/경계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주요 Consumer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cpf-core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Kernel 의미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Runtime 구현 금지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Starter/Owner Runtime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cpf-common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고객 업무 공통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기술 Kernel 금지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Business Domain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cpf-admin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플랫폼 운영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업무 원장 금지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운영자/Frontend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cpf-batch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Batch Runtime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업무 master 금지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Scheduler/Worker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cpf-gateway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Edge/Routing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업무 로직 금지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외부 Client/Domain</w:t>
            </w:r>
          </w:p>
        </w:tc>
      </w:tr>
    </w:tbl>
    <w:p/>
    <w:p>
      <w:pPr>
        <w:pStyle w:val="SourceRail"/>
      </w:pPr>
      <w:r>
        <w:t>Source 길찾기 settings.gradle</w:t>
      </w:r>
    </w:p>
    <w:p>
      <w:pPr>
        <w:pStyle w:val="Heading1"/>
        <w:keepNext/>
        <w:keepLines/>
        <w:widowControl/>
      </w:pPr>
      <w:r>
        <w:t>2. CPF 전체 Architecture Map</w:t>
      </w:r>
    </w:p>
    <w:p>
      <w:pPr>
        <w:pStyle w:val="FigureCaption"/>
        <w:jc w:val="left"/>
        <w:keepNext/>
        <w:keepLines/>
        <w:widowControl/>
      </w:pPr>
      <w:r>
        <w:t>그림 2-1. CPF 전체 Architecture</w:t>
      </w:r>
    </w:p>
    <w:p>
      <w:pPr>
        <w:spacing w:after="40"/>
        <w:jc w:val="center"/>
        <w:keepNext/>
        <w:keepLines/>
        <w:widowControl/>
      </w:pPr>
      <w:r>
        <w:drawing>
          <wp:inline xmlns:a="http://schemas.openxmlformats.org/drawingml/2006/main" xmlns:pic="http://schemas.openxmlformats.org/drawingml/2006/picture">
            <wp:extent cx="6408000" cy="3204000"/>
            <wp:docPr id="1" name="Picture 1" descr="그림 2-1. CPF 전체 Architecture - Business Ownership, Framework Capability, Optional Edge, Batch, Operations, DB3를 분리합니다." title="그림 2-1. CPF 전체 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Explain"/>
        <w:keepLines/>
        <w:widowControl/>
      </w:pPr>
      <w:r>
        <w:t>Business Ownership, Framework Capability, Optional Edge, Batch, Operations, DB3를 분리합니다.</w:t>
      </w:r>
    </w:p>
    <w:p>
      <w:pPr>
        <w:pStyle w:val="Heading2"/>
        <w:keepNext/>
        <w:keepLines/>
        <w:widowControl/>
      </w:pPr>
      <w:r>
        <w:t>2.1 Business Domain</w:t>
      </w:r>
    </w:p>
    <w:p>
      <w:pPr>
        <w:pStyle w:val="BodyRail"/>
      </w:pPr>
      <w:r>
        <w:t>Generated Business Domain은 업무 기능과 Owner DB를 소유하고 CPF Public API/Starter를 통해 공통 기능을 사용합니다. 다른 Domain의 internal package나 DB를 직접 참조하지 않습니다.</w:t>
      </w:r>
    </w:p>
    <w:p>
      <w:pPr>
        <w:pStyle w:val="BulletRail"/>
      </w:pPr>
      <w:r>
        <w:t>•  민감정보 전송·보존 정책을 Provider 경계에서 적용합니다.</w:t>
      </w:r>
    </w:p>
    <w:p>
      <w:pPr>
        <w:pStyle w:val="BulletRail"/>
      </w:pPr>
      <w:r>
        <w:t>•  Business Domain은 자신의 업무 원장과 규칙을 소유하고 다른 Domain의 Internal/DB를 직접 참조하지 않습니다.</w:t>
      </w:r>
    </w:p>
    <w:p>
      <w:pPr>
        <w:pStyle w:val="Heading2"/>
        <w:keepNext/>
        <w:keepLines/>
        <w:widowControl/>
      </w:pPr>
      <w:r>
        <w:t>2.2 Framework/Starter/Common</w:t>
      </w:r>
    </w:p>
    <w:p>
      <w:pPr>
        <w:pStyle w:val="BodyRail"/>
      </w:pPr>
      <w:r>
        <w:t>Starter는 Application이 필요한 Capability를 명시적으로 선택하는 Public Entry입니다. Provider는 명시 선택하고 충돌 시 fail-fast하며 Internal leaf는 개발자 선택 Surface로 노출하지 않습니다.</w:t>
      </w:r>
    </w:p>
    <w:p>
      <w:pPr>
        <w:pStyle w:val="BulletRail"/>
      </w:pPr>
      <w:r>
        <w:t>•  한 Deployable은 기본적으로 exactly-one Top-level Profile을 선택합니다.</w:t>
      </w:r>
    </w:p>
    <w:p>
      <w:pPr>
        <w:pStyle w:val="BulletRail"/>
      </w:pPr>
      <w:r>
        <w:t>•  선택하지 않은 Optional Capability는 bean/thread/config/sql/endpoint Side Effect가 없어야 합니다.</w:t>
      </w:r>
    </w:p>
    <w:p>
      <w:pPr>
        <w:pStyle w:val="Heading2"/>
        <w:keepNext/>
        <w:keepLines/>
        <w:widowControl/>
      </w:pPr>
      <w:r>
        <w:t>2.3 Gateway/Backoffice</w:t>
      </w:r>
    </w:p>
    <w:p>
      <w:pPr>
        <w:pStyle w:val="BodyRail"/>
      </w:pPr>
      <w:r>
        <w:t>cpf-backoffice는 Optional Prebuilt Business Domain이고 cpf-backoffice-web은 DB-less Channel/BFF Reference입니다. Browser는 Channel을 통해 호출하고 Business 원장은 Owner Domain이 유지합니다.</w:t>
      </w:r>
    </w:p>
    <w:p>
      <w:pPr>
        <w:pStyle w:val="BulletRail"/>
      </w:pPr>
      <w:r>
        <w:t>•  Backoffice가 Member 등 다른 Domain DB를 직접 조회하지 않습니다.</w:t>
      </w:r>
    </w:p>
    <w:p>
      <w:pPr>
        <w:pStyle w:val="BulletRail"/>
      </w:pPr>
      <w:r>
        <w:t>•  선택형 Backoffice를 제거해도 core/common/admin/gateway/다른 Domain이 정상 동작해야 합니다.</w:t>
      </w:r>
    </w:p>
    <w:p>
      <w:pPr>
        <w:pStyle w:val="Heading2"/>
        <w:keepNext/>
        <w:keepLines/>
        <w:widowControl/>
      </w:pPr>
      <w:r>
        <w:t>2.4 Batch</w:t>
      </w:r>
    </w:p>
    <w:p>
      <w:pPr>
        <w:pStyle w:val="BodyRail"/>
      </w:pPr>
      <w:r>
        <w:t>Batch는 cpf-batch가 Control Plane·Scheduler·Worker·Center-Cut·Agent Runtime을 소유하고 업무 Domain의 batch module은 Job 정의와 업무 처리를 연결합니다. 실행은 LOCAL·PARALLEL_STEPS·LOCAL_PARTITION 및 DB 기반 claim/lease/fencing을 사용하며 Batch 전용 Kafka Remote Execution은 사용하지 않습니다.</w:t>
      </w:r>
    </w:p>
    <w:p>
      <w:pPr>
        <w:pStyle w:val="Heading2"/>
        <w:keepNext/>
        <w:keepLines/>
        <w:widowControl/>
      </w:pPr>
      <w:r>
        <w:t>2.5 DB/Operations</w:t>
      </w:r>
    </w:p>
    <w:p>
      <w:pPr>
        <w:pStyle w:val="BodyRail"/>
      </w:pPr>
      <w:r>
        <w:t>DB는 Owner별 원장을 유지하면서 DB3 lifecycle을 따르고 Operations는 transaction·operation·instance 축으로 상태와 Trace를 조회합니다. 운영 계층이 업무 원장을 직접 소유하지 않습니다.</w:t>
      </w:r>
    </w:p>
    <w:p>
      <w:pPr>
        <w:pStyle w:val="SourceRail"/>
      </w:pPr>
      <w:r>
        <w:t>Source 길찾기 cpf-tools/db</w:t>
      </w:r>
    </w:p>
    <w:p>
      <w:pPr>
        <w:pStyle w:val="Heading1"/>
        <w:keepNext/>
        <w:keepLines/>
        <w:widowControl/>
      </w:pPr>
      <w:r>
        <w:t>3. Same JVM·Remote·Domain Invocation</w:t>
      </w:r>
    </w:p>
    <w:p>
      <w:pPr>
        <w:pStyle w:val="FigureCaption"/>
        <w:jc w:val="left"/>
        <w:keepNext/>
        <w:keepLines/>
        <w:widowControl/>
      </w:pPr>
      <w:r>
        <w:t>그림 3-1. Domain Invocation</w:t>
      </w:r>
    </w:p>
    <w:p>
      <w:pPr>
        <w:spacing w:after="40"/>
        <w:jc w:val="center"/>
        <w:keepNext/>
        <w:keepLines/>
        <w:widowControl/>
      </w:pPr>
      <w:r>
        <w:drawing>
          <wp:inline xmlns:a="http://schemas.openxmlformats.org/drawingml/2006/main" xmlns:pic="http://schemas.openxmlformats.org/drawingml/2006/picture">
            <wp:extent cx="6408000" cy="3204000"/>
            <wp:docPr id="2" name="Picture 2" descr="그림 3-1. Domain Invocation - 배포 방식과 무관하게 Domain 계약을 유지하고 내부 호출에 Gateway를 강제하지 않습니다." title="그림 3-1. Domain Invoc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vok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Explain"/>
        <w:keepLines/>
        <w:widowControl/>
      </w:pPr>
      <w:r>
        <w:t>배포 방식과 무관하게 Domain 계약을 유지하고 내부 호출에 Gateway를 강제하지 않습니다.</w:t>
      </w:r>
    </w:p>
    <w:p>
      <w:pPr>
        <w:pStyle w:val="Heading2"/>
        <w:keepNext/>
        <w:keepLines/>
        <w:widowControl/>
      </w:pPr>
      <w:r>
        <w:t>3.1 Same JVM</w:t>
      </w:r>
    </w:p>
    <w:p>
      <w:pPr>
        <w:pStyle w:val="BodyRail"/>
      </w:pPr>
      <w:r>
        <w:t>업무 Source는 배치 방식에 따라 local/remote 분기를 작성하지 않습니다. 공식 Domain Invocation 계층이 Same JVM과 Remote route를 선택하면서 동일한 operation·context·error 의미를 유지합니다.</w:t>
      </w:r>
    </w:p>
    <w:p>
      <w:pPr>
        <w:pStyle w:val="BulletRail"/>
      </w:pPr>
      <w:r>
        <w:t>•  Same JVM은 CpfContext 계열 논리 Context를 사용하고 self-HTTP를 하지 않습니다.</w:t>
      </w:r>
    </w:p>
    <w:p>
      <w:pPr>
        <w:pStyle w:val="BulletRail"/>
      </w:pPr>
      <w:r>
        <w:t>•  Remote는 System6, timeout/deadline, retry, trace와 UNKNOWN/reconcile 계약을 경계에서 적용합니다.</w:t>
      </w:r>
    </w:p>
    <w:p>
      <w:pPr>
        <w:pStyle w:val="Heading2"/>
        <w:keepNext/>
        <w:keepLines/>
        <w:widowControl/>
      </w:pPr>
      <w:r>
        <w:t>3.2 Remote/MSA</w:t>
      </w:r>
    </w:p>
    <w:p>
      <w:pPr>
        <w:pStyle w:val="BodyRail"/>
      </w:pPr>
      <w:r>
        <w:t>Remote 호출은 Registry와 Routing이 endpoint를 선택하고 CPF가 경계 Context를 직렬화합니다. 호출자는 endpoint 위치가 아니라 Domain/Operation 계약을 기준으로 호출합니다.</w:t>
      </w:r>
    </w:p>
    <w:p>
      <w:pPr>
        <w:pStyle w:val="BulletRail"/>
      </w:pPr>
      <w:r>
        <w:t>•  timeout/deadline budget을 초과한 재시도는 금지합니다.</w:t>
      </w:r>
    </w:p>
    <w:p>
      <w:pPr>
        <w:pStyle w:val="BulletRail"/>
      </w:pPr>
      <w:r>
        <w:t>•  결과를 확정할 수 없으면 UNKNOWN으로 남겨 Reconcile 경로로 연결합니다.</w:t>
      </w:r>
    </w:p>
    <w:p>
      <w:pPr>
        <w:pStyle w:val="Heading2"/>
        <w:keepNext/>
        <w:keepLines/>
        <w:widowControl/>
      </w:pPr>
      <w:r>
        <w:t>3.3 Domain Invocation</w:t>
      </w:r>
    </w:p>
    <w:p>
      <w:pPr>
        <w:pStyle w:val="BodyRail"/>
      </w:pPr>
      <w:r>
        <w:t>Domain Invocation은 호출자가 local/remote transport를 직접 분기하지 않게 하고 대상 해석, Context 전파, timeout/error 의미를 하나의 Public Contract로 유지합니다.</w:t>
      </w:r>
    </w:p>
    <w:p>
      <w:pPr>
        <w:pStyle w:val="BulletRail"/>
      </w:pPr>
      <w:r>
        <w:t>•  Local route는 동일 JVM binding을 사용하고 원격 transport를 거치지 않습니다.</w:t>
      </w:r>
    </w:p>
    <w:p>
      <w:pPr>
        <w:pStyle w:val="BulletRail"/>
      </w:pPr>
      <w:r>
        <w:t>•  Remote route는 System6·deadline·retry·trace와 UNKNOWN/Reconcile 계약을 transport 경계에서 적용합니다.</w:t>
      </w:r>
    </w:p>
    <w:p>
      <w:pPr>
        <w:pStyle w:val="Heading2"/>
        <w:keepNext/>
        <w:keepLines/>
        <w:widowControl/>
      </w:pPr>
      <w:r>
        <w:t>3.4 Self-HTTP 금지</w:t>
      </w:r>
    </w:p>
    <w:p>
      <w:pPr>
        <w:pStyle w:val="BodyRail"/>
      </w:pPr>
      <w:r>
        <w:t>동일 JVM에서 자기 Domain이나 다른 Domain을 HTTP로 재진입하는 self-HTTP는 금지합니다. 같은 호출 의미는 Domain Invocation의 local route가 처리합니다.</w:t>
      </w:r>
    </w:p>
    <w:p>
      <w:pPr>
        <w:pStyle w:val="BulletRail"/>
      </w:pPr>
      <w:r>
        <w:t>•  HTTP 우회로 Security/Trace/Transaction 의미를 중복 구현하지 않습니다.</w:t>
      </w:r>
    </w:p>
    <w:p>
      <w:pPr>
        <w:pStyle w:val="BulletRail"/>
      </w:pPr>
      <w:r>
        <w:t>•  배포 형태가 바뀌어도 업무 Service 코드는 변경하지 않는 것을 목표로 합니다.</w:t>
      </w:r>
    </w:p>
    <w:p>
      <w:pPr>
        <w:pStyle w:val="BodyRail"/>
      </w:pPr>
      <w:r>
        <w:t>배포 방식이 달라도 유지해야 할 호출 계약을 비교합니다.</w:t>
      </w:r>
    </w:p>
    <w:p>
      <w:pPr>
        <w:pStyle w:val="TableTitle"/>
        <w:keepNext/>
        <w:keepLines/>
        <w:widowControl/>
      </w:pPr>
      <w:r>
        <w:t>표 3-1. 관점 / Same JVM / Remote / 공통 계약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관점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Same JVM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Remote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공통 계약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호출 경로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In-process route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Registry+transport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Domain Invocation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Context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CpfContext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System6 serialize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동일 논리 Context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실패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직접 예외/Result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timeout·network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표준 Error/UNKNOWN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관측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동일 trace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hop trace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transaction/operation 유지</w:t>
            </w:r>
          </w:p>
        </w:tc>
      </w:tr>
    </w:tbl>
    <w:p/>
    <w:p>
      <w:pPr>
        <w:pStyle w:val="SourceRail"/>
      </w:pPr>
      <w:r>
        <w:t>Source 길찾기 cpf-core/src/main/java/com/cpf/core/api/domain/CpfDomainClient.java</w:t>
      </w:r>
    </w:p>
    <w:p>
      <w:pPr>
        <w:pStyle w:val="Heading1"/>
        <w:keepNext/>
        <w:keepLines/>
        <w:widowControl/>
      </w:pPr>
      <w:r>
        <w:t>4. Context·Security Boundary</w:t>
      </w:r>
    </w:p>
    <w:p>
      <w:pPr>
        <w:pStyle w:val="Heading2"/>
        <w:keepNext/>
        <w:keepLines/>
        <w:widowControl/>
      </w:pPr>
      <w:r>
        <w:t>4.1 System6</w:t>
      </w:r>
    </w:p>
    <w:p>
      <w:pPr>
        <w:pStyle w:val="BodyRail"/>
      </w:pPr>
      <w:r>
        <w:t>업무 Online Transaction은 Controller 실행 전에 Canonical System6를 갖습니다. Transaction/Original은 유지하고 System/Caller/Target/Operation은 Hop 기준으로 CPF가 확정합니다.</w:t>
      </w:r>
    </w:p>
    <w:p>
      <w:pPr>
        <w:pStyle w:val="BulletRail"/>
      </w:pPr>
      <w:r>
        <w:t>•  Browser가 Protected Header를 보내도 신뢰하지 않고 Trusted Entry에서 재구성합니다.</w:t>
      </w:r>
    </w:p>
    <w:p>
      <w:pPr>
        <w:pStyle w:val="BulletRail"/>
      </w:pPr>
      <w:r>
        <w:t>•  수신 System/Target/Operation이 실제 Runtime/Handler와 다르면 업무 Controller를 호출하지 않습니다.</w:t>
      </w:r>
    </w:p>
    <w:p>
      <w:pPr>
        <w:pStyle w:val="Heading2"/>
        <w:keepNext/>
        <w:keepLines/>
        <w:widowControl/>
      </w:pPr>
      <w:r>
        <w:t>4.2 Trust/Security Boundary</w:t>
      </w:r>
    </w:p>
    <w:p>
      <w:pPr>
        <w:pStyle w:val="BodyRail"/>
      </w:pPr>
      <w:r>
        <w:t>신뢰 경계에서는 호출자가 보낸 Protected Header와 논리 System identity를 분리합니다. Gateway/BFF는 Registry·Runtime 설정으로 검증된 SystemCode를 사용합니다.</w:t>
      </w:r>
    </w:p>
    <w:p>
      <w:pPr>
        <w:pStyle w:val="BulletRail"/>
      </w:pPr>
      <w:r>
        <w:t>•  미등록·비활성·spoofed identity는 ALL 정책이어도 허용하지 않습니다.</w:t>
      </w:r>
    </w:p>
    <w:p>
      <w:pPr>
        <w:pStyle w:val="BulletRail"/>
      </w:pPr>
      <w:r>
        <w:t>•  관리 API에는 업무 System6를 억지 적용하지 않고 일반 Security/Trace/Audit를 적용합니다.</w:t>
      </w:r>
    </w:p>
    <w:p>
      <w:pPr>
        <w:pStyle w:val="Heading2"/>
        <w:keepNext/>
        <w:keepLines/>
        <w:widowControl/>
      </w:pPr>
      <w:r>
        <w:t>4.3 Operation/Instance Identity</w:t>
      </w:r>
    </w:p>
    <w:p>
      <w:pPr>
        <w:pStyle w:val="BodyRail"/>
      </w:pPr>
      <w:r>
        <w:t>operationId는 Annotation, OpenAPI, Domain Client, Registry, ADM, Log/Trace가 공유하는 안정 실행 정의 ID입니다. 개별 실행 건의 executionId와 분리합니다.</w:t>
      </w:r>
    </w:p>
    <w:p>
      <w:pPr>
        <w:pStyle w:val="BulletRail"/>
      </w:pPr>
      <w:r>
        <w:t>•  Source는 operation metadata를, ADM Policy는 enabled/allowlist/override를 소유합니다.</w:t>
      </w:r>
    </w:p>
    <w:p>
      <w:pPr>
        <w:pStyle w:val="BulletRail"/>
      </w:pPr>
      <w:r>
        <w:t>•  Discovery에서 일시 미발견된 Operation을 자동 삭제하지 않습니다.</w:t>
      </w:r>
    </w:p>
    <w:p>
      <w:pPr>
        <w:pStyle w:val="BodyRail"/>
      </w:pPr>
      <w:r>
        <w:t>각 Header의 설정 주체·변경 규칙·수신 검증을 확인합니다.</w:t>
      </w:r>
    </w:p>
    <w:p>
      <w:pPr>
        <w:pStyle w:val="TableTitle"/>
        <w:keepNext/>
        <w:keepLines/>
        <w:widowControl/>
      </w:pPr>
      <w:r>
        <w:t>표 4-1. Header / 설정 주체 / 변경 규칙 / 검증/주의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Header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설정 주체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변경 규칙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검증/주의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X-Transaction-Id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최초 생성 후 불변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거래 전체 correlation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X-Original-System-Code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 Trusted Entry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최초 확정 후 불변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호출자가 임의 변경 금지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X-System-Code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Hop마다 현재 처리 System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수신 Runtime과 일치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X-Caller-System-Code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Hop마다 직전 Caller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신뢰 System identity 사용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X-Target-System-Code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Hop마다 Target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수신 Runtime과 일치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X-Target-Operation-Id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Operation마다 갱신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실제 Handler와 일치</w:t>
            </w:r>
          </w:p>
        </w:tc>
      </w:tr>
    </w:tbl>
    <w:p/>
    <w:p>
      <w:pPr>
        <w:pStyle w:val="SourceRail"/>
      </w:pPr>
      <w:r>
        <w:t>Source 길찾기 cpf-core/src/main/java/com/cpf/core/api/context/CpfContext.java</w:t>
      </w:r>
    </w:p>
    <w:p>
      <w:pPr>
        <w:pStyle w:val="Heading1"/>
        <w:keepNext/>
        <w:keepLines/>
        <w:widowControl/>
      </w:pPr>
      <w:r>
        <w:t>5. Gateway·Backoffice</w:t>
      </w:r>
    </w:p>
    <w:p>
      <w:pPr>
        <w:pStyle w:val="FigureCaption"/>
        <w:jc w:val="left"/>
        <w:keepNext/>
        <w:keepLines/>
        <w:widowControl/>
      </w:pPr>
      <w:r>
        <w:t>그림 5-1. Gateway Optional Boundary</w:t>
      </w:r>
    </w:p>
    <w:p>
      <w:pPr>
        <w:spacing w:after="40"/>
        <w:jc w:val="center"/>
        <w:keepNext/>
        <w:keepLines/>
        <w:widowControl/>
      </w:pPr>
      <w:r>
        <w:drawing>
          <wp:inline xmlns:a="http://schemas.openxmlformats.org/drawingml/2006/main" xmlns:pic="http://schemas.openxmlformats.org/drawingml/2006/picture">
            <wp:extent cx="6408000" cy="3204000"/>
            <wp:docPr id="3" name="Picture 3" descr="그림 5-1. Gateway Optional Boundary - 외부 진입 정책만 Gateway에 두고 업무 Owner 경계는 Domain에 남깁니다." title="그림 5-1. Gateway Optional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tew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Explain"/>
        <w:keepLines/>
        <w:widowControl/>
      </w:pPr>
      <w:r>
        <w:t>외부 진입 정책만 Gateway에 두고 업무 Owner 경계는 Domain에 남깁니다.</w:t>
      </w:r>
    </w:p>
    <w:p>
      <w:pPr>
        <w:pStyle w:val="Heading2"/>
        <w:keepNext/>
        <w:keepLines/>
        <w:widowControl/>
      </w:pPr>
      <w:r>
        <w:t>5.1 Gateway Optionality</w:t>
      </w:r>
    </w:p>
    <w:p>
      <w:pPr>
        <w:pStyle w:val="BodyRail"/>
      </w:pPr>
      <w:r>
        <w:t>Gateway는 외부 진입·trust normalization·routing·rate/resilience를 담당하는 Optional Edge입니다. 업무 로직과 Business DB는 Gateway에 두지 않습니다.</w:t>
      </w:r>
    </w:p>
    <w:p>
      <w:pPr>
        <w:pStyle w:val="BulletRail"/>
      </w:pPr>
      <w:r>
        <w:t>•  Gateway 없이 배포하는 topology도 공식 Domain 계약을 유지합니다.</w:t>
      </w:r>
    </w:p>
    <w:p>
      <w:pPr>
        <w:pStyle w:val="BulletRail"/>
      </w:pPr>
      <w:r>
        <w:t>•  Route 변경은 health/draining/canary/rollback과 함께 운영합니다.</w:t>
      </w:r>
    </w:p>
    <w:p>
      <w:pPr>
        <w:pStyle w:val="Heading2"/>
        <w:keepNext/>
        <w:keepLines/>
        <w:widowControl/>
      </w:pPr>
      <w:r>
        <w:t>5.2 Backoffice/Owner Domain 경계</w:t>
      </w:r>
    </w:p>
    <w:p>
      <w:pPr>
        <w:pStyle w:val="BodyRail"/>
      </w:pPr>
      <w:r>
        <w:t>Backoffice는 사용자/운영 요청을 Channel/BFF 경계에서 받아 공식 Domain Invocation으로 Owner Domain에 전달합니다. Backoffice가 Business 원장을 직접 조회·수정하지 않습니다.</w:t>
      </w:r>
    </w:p>
    <w:p>
      <w:pPr>
        <w:pStyle w:val="BodyRail"/>
      </w:pPr>
      <w:r>
        <w:t>상황에 맞는 선택과 피해야 할 경로를 판단합니다.</w:t>
      </w:r>
    </w:p>
    <w:p>
      <w:pPr>
        <w:pStyle w:val="BodyRail"/>
      </w:pPr>
      <w:r>
        <w:t>Module별 Owner 책임과 직접 참조 금지 경계를 확인합니다.</w:t>
      </w:r>
    </w:p>
    <w:p>
      <w:pPr>
        <w:pStyle w:val="TableTitle"/>
        <w:keepNext/>
        <w:keepLines/>
        <w:widowControl/>
      </w:pPr>
      <w:r>
        <w:t>표 5-1. 영역/Module / 책임 / 소유/경계 / 주요 Consumer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영역/Module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책임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소유/경계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주요 Consumer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cpf-core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Kernel 의미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Runtime 구현 금지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Starter/Owner Runtime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cpf-common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고객 업무 공통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기술 Kernel 금지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Business Domain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cpf-admin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플랫폼 운영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업무 원장 금지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운영자/Frontend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cpf-batch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Batch Runtime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업무 master 금지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Scheduler/Worker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cpf-gateway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Edge/Routing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업무 로직 금지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외부 Client/Domain</w:t>
            </w:r>
          </w:p>
        </w:tc>
      </w:tr>
    </w:tbl>
    <w:p/>
    <w:p>
      <w:pPr>
        <w:pStyle w:val="SourceRail"/>
      </w:pPr>
      <w:r>
        <w:t>Source 길찾기 cpf-backoffice</w:t>
      </w:r>
    </w:p>
    <w:p>
      <w:pPr>
        <w:pStyle w:val="Heading1"/>
        <w:keepNext/>
        <w:keepLines/>
        <w:widowControl/>
      </w:pPr>
      <w:r>
        <w:t>6. Batch Architecture</w:t>
      </w:r>
    </w:p>
    <w:p>
      <w:pPr>
        <w:pStyle w:val="FigureCaption"/>
        <w:jc w:val="left"/>
        <w:keepNext/>
        <w:keepLines/>
        <w:widowControl/>
      </w:pPr>
      <w:r>
        <w:t>그림 6-1. Batch Architecture</w:t>
      </w:r>
    </w:p>
    <w:p>
      <w:pPr>
        <w:spacing w:after="40"/>
        <w:jc w:val="center"/>
        <w:keepNext/>
        <w:keepLines/>
        <w:widowControl/>
      </w:pPr>
      <w:r>
        <w:drawing>
          <wp:inline xmlns:a="http://schemas.openxmlformats.org/drawingml/2006/main" xmlns:pic="http://schemas.openxmlformats.org/drawingml/2006/picture">
            <wp:extent cx="6408000" cy="3204000"/>
            <wp:docPr id="4" name="Picture 4" descr="그림 6-1. Batch Architecture - 제어와 실행을 분리해 Lease/Fencing과 Process Kill 복구를 운영 계약으로 만듭니다." title="그림 6-1. Batch 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t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Explain"/>
        <w:keepLines/>
        <w:widowControl/>
      </w:pPr>
      <w:r>
        <w:t>제어와 실행을 분리해 Lease/Fencing과 Process Kill 복구를 운영 계약으로 만듭니다.</w:t>
      </w:r>
    </w:p>
    <w:p>
      <w:pPr>
        <w:pStyle w:val="Heading2"/>
        <w:keepNext/>
        <w:keepLines/>
        <w:widowControl/>
      </w:pPr>
      <w:r>
        <w:t>6.1 Control Plane/Scheduler/Worker</w:t>
      </w:r>
    </w:p>
    <w:p>
      <w:pPr>
        <w:pStyle w:val="BodyRail"/>
      </w:pPr>
      <w:r>
        <w:t>Batch Runtime은 Control Plane, Scheduler, Worker, Center-Cut, Agent의 역할을 분리합니다. 제어 명령과 실제 실행 상태를 같은 Process 내부 변수로만 관리하지 않으며 Batch 전용 Kafka/Broker Remote Execution을 사용하지 않습니다.</w:t>
      </w:r>
    </w:p>
    <w:p>
      <w:pPr>
        <w:pStyle w:val="BulletRail"/>
      </w:pPr>
      <w:r>
        <w:t>•  Scheduler는 실행 계획/trigger를, Worker는 실제 Job 실행을 소유합니다.</w:t>
      </w:r>
    </w:p>
    <w:p>
      <w:pPr>
        <w:pStyle w:val="BulletRail"/>
      </w:pPr>
      <w:r>
        <w:t>•  Center-Cut/Agent는 대상 분할·Process 실행과 lease/fencing 상태를 추적합니다.</w:t>
      </w:r>
    </w:p>
    <w:p>
      <w:pPr>
        <w:pStyle w:val="Heading2"/>
        <w:keepNext/>
        <w:keepLines/>
        <w:widowControl/>
      </w:pPr>
      <w:r>
        <w:t>6.2 Center-Cut/Agent</w:t>
      </w:r>
    </w:p>
    <w:p>
      <w:pPr>
        <w:pStyle w:val="BodyRail"/>
      </w:pPr>
      <w:r>
        <w:t>Center-Cut은 대량 대상 분할·집계를 관리하고 Agent는 Job Pack/Process 실행 경계를 담당하며 Batch 전용 Broker Remote Transport는 사용하지 않습니다. lease/fencing/heartbeat로 다중 인스턴스 소유권을 보호합니다.</w:t>
      </w:r>
    </w:p>
    <w:p>
      <w:pPr>
        <w:pStyle w:val="BulletRail"/>
      </w:pPr>
      <w:r>
        <w:t>•  Scheduler는 실행 계획/trigger를, Worker는 실제 Job 실행을 소유합니다.</w:t>
      </w:r>
    </w:p>
    <w:p>
      <w:pPr>
        <w:pStyle w:val="BulletRail"/>
      </w:pPr>
      <w:r>
        <w:t>•  Center-Cut/Agent는 대상 분할·Process 실행과 lease/fencing 상태를 추적합니다.</w:t>
      </w:r>
    </w:p>
    <w:p>
      <w:pPr>
        <w:pStyle w:val="Heading2"/>
        <w:keepNext/>
        <w:keepLines/>
        <w:widowControl/>
      </w:pPr>
      <w:r>
        <w:t>6.3 Lease/Fencing/Heartbeat</w:t>
      </w:r>
    </w:p>
    <w:p>
      <w:pPr>
        <w:pStyle w:val="BodyRail"/>
      </w:pPr>
      <w:r>
        <w:t>Lease는 작업 소유권의 유효기간이고 Fencing은 stale Worker의 늦은 쓰기를 차단하는 토큰입니다. Heartbeat만 살아 있다고 소유권을 무기한 인정하지 않습니다.</w:t>
      </w:r>
    </w:p>
    <w:p>
      <w:pPr>
        <w:pStyle w:val="BulletRail"/>
      </w:pPr>
      <w:r>
        <w:t>•  lease 만료 후 재할당 시 fencing token이 증가해야 합니다.</w:t>
      </w:r>
    </w:p>
    <w:p>
      <w:pPr>
        <w:pStyle w:val="BulletRail"/>
      </w:pPr>
      <w:r>
        <w:t>•  clock/timeout 경계와 DB update 조건을 동시성 Test로 검증합니다.</w:t>
      </w:r>
    </w:p>
    <w:p>
      <w:pPr>
        <w:pStyle w:val="BodyRail"/>
      </w:pPr>
      <w:r>
        <w:t>각 역할의 책임과 장애 시 영향을 구분합니다.</w:t>
      </w:r>
    </w:p>
    <w:p>
      <w:pPr>
        <w:pStyle w:val="TableTitle"/>
        <w:keepNext/>
        <w:keepLines/>
        <w:widowControl/>
      </w:pPr>
      <w:r>
        <w:t>표 6-1. 역할 / 책임 / 소유/경계 / 장애 영향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책임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소유/경계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장애 영향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Control Plane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정의·제어·상태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제어 Owner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명령/상태 불일치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Scheduler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Trigger·할당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실행 계획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중복 scheduling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Worker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Job 실행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execution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Process kill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Center-Cut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대상 분할·조정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대량 실행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부분 실패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Agent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Job Pack/Process 실행·heartbeat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instance/lease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stale agent</w:t>
            </w:r>
          </w:p>
        </w:tc>
      </w:tr>
    </w:tbl>
    <w:p/>
    <w:p>
      <w:pPr>
        <w:pStyle w:val="SourceRail"/>
      </w:pPr>
      <w:r>
        <w:t>Source 길찾기 cpf-batch/api/src/main/java/com/cpf/batch/spi/BatchFencingPort.java</w:t>
      </w:r>
    </w:p>
    <w:p>
      <w:pPr>
        <w:pStyle w:val="Heading1"/>
        <w:keepNext/>
        <w:keepLines/>
        <w:widowControl/>
      </w:pPr>
      <w:r>
        <w:t>7. Persistence·DB Ownership</w:t>
      </w:r>
    </w:p>
    <w:p>
      <w:pPr>
        <w:pStyle w:val="Heading2"/>
        <w:keepNext/>
        <w:keepLines/>
        <w:widowControl/>
      </w:pPr>
      <w:r>
        <w:t>7.1 DB Owner</w:t>
      </w:r>
    </w:p>
    <w:p>
      <w:pPr>
        <w:pStyle w:val="BodyRail"/>
      </w:pPr>
      <w:r>
        <w:t>Business 원장은 해당 Owner Domain이 소유하고 Admin·Gateway·Backoffice가 직접 DB 접근으로 우회하지 않습니다. DB 변경은 Owner와 migration lifecycle을 함께 따라야 합니다.</w:t>
      </w:r>
    </w:p>
    <w:p>
      <w:pPr>
        <w:pStyle w:val="Heading2"/>
        <w:keepNext/>
        <w:keepLines/>
        <w:widowControl/>
      </w:pPr>
      <w:r>
        <w:t>7.2 Oracle/PostgreSQL/MariaDB</w:t>
      </w:r>
    </w:p>
    <w:p>
      <w:pPr>
        <w:pStyle w:val="BodyRail"/>
      </w:pPr>
      <w:r>
        <w:t>CPF의 공식 DB Vendor는 Oracle, PostgreSQL, MariaDB입니다. 하나의 Canonical DB 의미를 기준으로 Vendor별 DDL·runtime query 차이를 명시적으로 render/검증합니다.</w:t>
      </w:r>
    </w:p>
    <w:p>
      <w:pPr>
        <w:pStyle w:val="BodyRail"/>
      </w:pPr>
      <w:r>
        <w:t>공식 DB Vendor는 Oracle·PostgreSQL·MariaDB만 사용하며 세 Vendor의 DDL·Migration·Rollback·Runtime 동작을 함께 검증합니다.</w:t>
      </w:r>
    </w:p>
    <w:p>
      <w:pPr>
        <w:pStyle w:val="BulletRail"/>
      </w:pPr>
      <w:r>
        <w:t>•  Vendor 차이는 datatype·identity·locking·DDL syntax처럼 실제 동작 차이가 있는 지점에서만 분기합니다.</w:t>
      </w:r>
    </w:p>
    <w:p>
      <w:pPr>
        <w:pStyle w:val="Heading2"/>
        <w:keepNext/>
        <w:keepLines/>
        <w:widowControl/>
      </w:pPr>
      <w:r>
        <w:t>7.3 Migration/Upgrade/Rollback 경계</w:t>
      </w:r>
    </w:p>
    <w:p>
      <w:pPr>
        <w:pStyle w:val="BodyRail"/>
      </w:pPr>
      <w:r>
        <w:t>DB 변경은 Canonical Source→Fresh Init→Vendor Render→Migration→Seed→Upgrade→Rollback/Recovery→Runtime Query→Test를 하나의 Lifecycle로 닫습니다.</w:t>
      </w:r>
    </w:p>
    <w:p>
      <w:pPr>
        <w:pStyle w:val="BulletRail"/>
      </w:pPr>
      <w:r>
        <w:t>•  DDL 한 파일 변경만으로 완료 처리하지 않습니다.</w:t>
      </w:r>
    </w:p>
    <w:p>
      <w:pPr>
        <w:pStyle w:val="BulletRail"/>
      </w:pPr>
      <w:r>
        <w:t>•  Rollback이 위험하거나 불가능하면 명시적 recovery 절차와 Evidence를 남깁니다.</w:t>
      </w:r>
    </w:p>
    <w:p>
      <w:pPr>
        <w:pStyle w:val="BodyRail"/>
      </w:pPr>
      <w:r>
        <w:t>Oracle·PostgreSQL·MariaDB의 공통 의미와 검증 지점을 비교합니다.</w:t>
      </w:r>
    </w:p>
    <w:p>
      <w:pPr>
        <w:pStyle w:val="TableTitle"/>
        <w:keepNext/>
        <w:keepLines/>
        <w:widowControl/>
      </w:pPr>
      <w:r>
        <w:t>표 7-1. 항목 / Oracle / PostgreSQL / MariaDB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Oracle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PostgreSQL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MariaDB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공식 지원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지원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지원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지원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Canonical 의미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공통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공통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공통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Vendor Render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oracle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postgresql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mariadb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검증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DDL·Runtime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DDL·Runtime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DDL·Runtime</w:t>
            </w:r>
          </w:p>
        </w:tc>
      </w:tr>
    </w:tbl>
    <w:p/>
    <w:p>
      <w:pPr>
        <w:pStyle w:val="BodyRail"/>
      </w:pPr>
      <w:r>
        <w:t>DB 변경이 Fresh Init부터 Runtime Query까지 닫혔는지 확인합니다.</w:t>
      </w:r>
    </w:p>
    <w:p>
      <w:pPr>
        <w:pStyle w:val="TableTitle"/>
        <w:keepNext/>
        <w:keepLines/>
        <w:widowControl/>
      </w:pPr>
      <w:r>
        <w:t>표 7-2. 단계 / Canonical / Vendor 영향 / 검증/복구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단계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Canonical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Vendor 영향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검증/복구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Fresh Init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Canonical schema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Vendor별 DDL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깨끗한 초기화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Migration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변경 정의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문법/락 차이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upgrade 실행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Seed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공통 기준 데이터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DML 차이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재실행 안전성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Rollback/Recovery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역변경/복구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Vendor별 절차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실패 복구 Evidence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Runtime Query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Repository 의미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SQL 차이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실거래 검증</w:t>
            </w:r>
          </w:p>
        </w:tc>
      </w:tr>
    </w:tbl>
    <w:p/>
    <w:p>
      <w:pPr>
        <w:pStyle w:val="SourceRail"/>
      </w:pPr>
      <w:r>
        <w:t>Source 길찾기 cpf-tools/db</w:t>
      </w:r>
    </w:p>
    <w:p>
      <w:pPr>
        <w:pStyle w:val="Heading1"/>
        <w:keepNext/>
        <w:keepLines/>
        <w:widowControl/>
      </w:pPr>
      <w:r>
        <w:t>8. Observability·Multi-instance·HA</w:t>
      </w:r>
    </w:p>
    <w:p>
      <w:pPr>
        <w:pStyle w:val="FigureCaption"/>
        <w:jc w:val="left"/>
        <w:keepNext/>
        <w:keepLines/>
        <w:widowControl/>
      </w:pPr>
      <w:r>
        <w:t>그림 8-1. Runtime Trace</w:t>
      </w:r>
    </w:p>
    <w:p>
      <w:pPr>
        <w:spacing w:after="40"/>
        <w:jc w:val="center"/>
        <w:keepNext/>
        <w:keepLines/>
        <w:widowControl/>
      </w:pPr>
      <w:r>
        <w:drawing>
          <wp:inline xmlns:a="http://schemas.openxmlformats.org/drawingml/2006/main" xmlns:pic="http://schemas.openxmlformats.org/drawingml/2006/picture">
            <wp:extent cx="6408000" cy="3204000"/>
            <wp:docPr id="5" name="Picture 5" descr="그림 8-1. Runtime Trace - 거래·Operation·Instance 식별자로 다중 인스턴스 장애를 추적합니다." title="그림 8-1. Runtime Tr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Explain"/>
        <w:keepLines/>
        <w:widowControl/>
      </w:pPr>
      <w:r>
        <w:t>거래·Operation·Instance 식별자로 다중 인스턴스 장애를 추적합니다.</w:t>
      </w:r>
    </w:p>
    <w:p>
      <w:pPr>
        <w:pStyle w:val="Heading2"/>
        <w:keepNext/>
        <w:keepLines/>
        <w:widowControl/>
      </w:pPr>
      <w:r>
        <w:t>8.1 Log/Trace/Timeline</w:t>
      </w:r>
    </w:p>
    <w:p>
      <w:pPr>
        <w:pStyle w:val="BodyRail"/>
      </w:pPr>
      <w:r>
        <w:t>Observability는 transactionId·operationId·instanceId를 중심으로 Log, Trace, Metric, Timeline을 연결합니다. 운영자는 코드 위치보다 거래·실행 식별자에서 시작해 원인을 좁힐 수 있어야 합니다.</w:t>
      </w:r>
    </w:p>
    <w:p>
      <w:pPr>
        <w:pStyle w:val="BulletRail"/>
      </w:pPr>
      <w:r>
        <w:t>•  민감정보는 structured log에서도 마스킹합니다.</w:t>
      </w:r>
    </w:p>
    <w:p>
      <w:pPr>
        <w:pStyle w:val="BulletRail"/>
      </w:pPr>
      <w:r>
        <w:t>•  재시도/복구 segment가 원 거래와 단절되지 않도록 correlation을 유지합니다.</w:t>
      </w:r>
    </w:p>
    <w:p>
      <w:pPr>
        <w:pStyle w:val="Heading2"/>
        <w:keepNext/>
        <w:keepLines/>
        <w:widowControl/>
      </w:pPr>
      <w:r>
        <w:t>8.2 Multi-instance</w:t>
      </w:r>
    </w:p>
    <w:p>
      <w:pPr>
        <w:pStyle w:val="BodyRail"/>
      </w:pPr>
      <w:r>
        <w:t>instanceId는 현재 Process를 식별하는 Runtime 축이며 System6 Header에는 포함하지 않습니다. 기동 시 설정→환경변수→Hostname 순으로 한 번 확정하고 Process 수명 동안 유지합니다.</w:t>
      </w:r>
    </w:p>
    <w:p>
      <w:pPr>
        <w:pStyle w:val="BulletRail"/>
      </w:pPr>
      <w:r>
        <w:t>•  localhost/unknown/Domain명 같은 fallback으로 READY를 허용하지 않습니다.</w:t>
      </w:r>
    </w:p>
    <w:p>
      <w:pPr>
        <w:pStyle w:val="BulletRail"/>
      </w:pPr>
      <w:r>
        <w:t>•  동일 Host의 동일 System 다중 Process는 explicit instanceId가 필요합니다.</w:t>
      </w:r>
    </w:p>
    <w:p>
      <w:pPr>
        <w:pStyle w:val="Heading2"/>
        <w:keepNext/>
        <w:keepLines/>
        <w:widowControl/>
      </w:pPr>
      <w:r>
        <w:t>8.3 HA/Failure Domain</w:t>
      </w:r>
    </w:p>
    <w:p>
      <w:pPr>
        <w:pStyle w:val="BodyRail"/>
      </w:pPr>
      <w:r>
        <w:t>HA는 System 전체를 하나의 생존 여부로 보지 않고 instance·provider·DB·Gateway·Worker 등 Failure Domain별로 격리합니다. 한 instance 장애가 다른 Owner의 상태를 임의 변경하지 않습니다.</w:t>
      </w:r>
    </w:p>
    <w:p>
      <w:pPr>
        <w:pStyle w:val="BulletRail"/>
      </w:pPr>
      <w:r>
        <w:t>•  민감정보 전송·보존 정책을 Provider 경계에서 적용합니다.</w:t>
      </w:r>
    </w:p>
    <w:p>
      <w:pPr>
        <w:pStyle w:val="BulletRail"/>
      </w:pPr>
      <w:r>
        <w:t>•  Failover는 해당 Failure Domain 안에서 수행하며 보안·Owner 경계를 자동 우회하지 않습니다.</w:t>
      </w:r>
    </w:p>
    <w:p>
      <w:pPr>
        <w:pStyle w:val="SourceRail"/>
      </w:pPr>
      <w:r>
        <w:t>Source 길찾기 cpf-starters/base/runtime/src/main/java/com/cpf/foundation/runtime/CpfInstanceIdentity.java</w:t>
      </w:r>
    </w:p>
    <w:p>
      <w:pPr>
        <w:pStyle w:val="Heading1"/>
        <w:keepNext/>
        <w:keepLines/>
        <w:widowControl/>
      </w:pPr>
      <w:r>
        <w:t>9. Deployment·금지 패턴·Decision</w:t>
      </w:r>
    </w:p>
    <w:p>
      <w:pPr>
        <w:pStyle w:val="Heading2"/>
        <w:keepNext/>
        <w:keepLines/>
        <w:widowControl/>
      </w:pPr>
      <w:r>
        <w:t>9.1 Deployment Topology</w:t>
      </w:r>
    </w:p>
    <w:p>
      <w:pPr>
        <w:pStyle w:val="BodyRail"/>
      </w:pPr>
      <w:r>
        <w:t>CPF는 Same JVM, 분리 WAS, MSA, 다중 인스턴스 topology에서 동일 Domain 계약을 유지합니다. 배포 형태가 바뀌어도 업무 Source가 local/remote 분기를 직접 구현하지 않습니다.</w:t>
      </w:r>
    </w:p>
    <w:p>
      <w:pPr>
        <w:pStyle w:val="Heading2"/>
        <w:keepNext/>
        <w:keepLines/>
        <w:widowControl/>
      </w:pPr>
      <w:r>
        <w:t>9.2 금지 Architecture</w:t>
      </w:r>
    </w:p>
    <w:p>
      <w:pPr>
        <w:pStyle w:val="BodyRail"/>
      </w:pPr>
      <w:r>
        <w:t>금지 패턴은 Owner·Topology·신뢰 경계를 우회하거나 운영 Evidence를 잃게 만드는 구현을 빠르게 차단하기 위한 Review Gate입니다.</w:t>
      </w:r>
    </w:p>
    <w:p>
      <w:pPr>
        <w:pStyle w:val="BulletRail"/>
      </w:pPr>
      <w:r>
        <w:t>•  self-HTTP, 타 Owner DB/Internal 직접 참조, secret 원문 로그를 금지합니다.</w:t>
      </w:r>
    </w:p>
    <w:p>
      <w:pPr>
        <w:pStyle w:val="BulletRail"/>
      </w:pPr>
      <w:r>
        <w:t>•  미실행 검증·stale Evidence·Optional 기능의 숨은 Side Effect를 완료 근거로 사용하지 않습니다.</w:t>
      </w:r>
    </w:p>
    <w:p>
      <w:pPr>
        <w:pStyle w:val="Heading2"/>
        <w:keepNext/>
        <w:keepLines/>
        <w:widowControl/>
      </w:pPr>
      <w:r>
        <w:t>9.3 Topology Decision Matrix</w:t>
      </w:r>
    </w:p>
    <w:p>
      <w:pPr>
        <w:pStyle w:val="BodyRail"/>
      </w:pPr>
      <w:r>
        <w:t>Topology는 latency, 장애 격리, 독립 배포, 운영 복잡도와 데이터 Owner 경계를 기준으로 선택합니다. Gateway/Backoffice 같은 Optional Runtime은 제거해도 핵심 Domain 계약이 유지되어야 합니다.</w:t>
      </w:r>
    </w:p>
    <w:p>
      <w:pPr>
        <w:pStyle w:val="BodyRail"/>
      </w:pPr>
      <w:r>
        <w:t>상황에 맞는 선택과 피해야 할 경로를 판단합니다.</w:t>
      </w:r>
    </w:p>
    <w:p>
      <w:pPr>
        <w:pStyle w:val="SourceRail"/>
      </w:pPr>
      <w:r>
        <w:t>Source 길찾기 settings.gradle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510" w:right="680" w:bottom="510" w:left="680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738A"/>
        <w:sz w:val="16"/>
      </w:rPr>
      <w:t xml:space="preserve">Harness v2.1.0  ·  Source 054d894b47f4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738A"/>
        <w:sz w:val="16"/>
      </w:rPr>
      <w:t>CPF  |  Core Platform Framework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CJK KR" w:hAnsi="Noto Sans CJK KR"/>
      <w:color w:val="20212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560" w:after="240"/>
      <w:outlineLvl w:val="0"/>
    </w:pPr>
    <w:rPr>
      <w:rFonts w:asciiTheme="majorHAnsi" w:eastAsiaTheme="majorEastAsia" w:hAnsiTheme="majorHAnsi" w:cstheme="majorBidi" w:ascii="Noto Sans CJK KR" w:hAnsi="Noto Sans CJK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70"/>
      <w:outlineLvl w:val="1"/>
    </w:pPr>
    <w:rPr>
      <w:rFonts w:asciiTheme="majorHAnsi" w:eastAsiaTheme="majorEastAsia" w:hAnsiTheme="majorHAnsi" w:cstheme="majorBidi" w:ascii="Noto Sans CJK KR" w:hAnsi="Noto Sans CJK KR"/>
      <w:b/>
      <w:bCs/>
      <w:color w:val="17324D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Noto Sans CJK KR" w:hAnsi="Noto Sans CJK KR"/>
      <w:b/>
      <w:bCs/>
      <w:color w:val="2563E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Noto Sans CJK KR" w:hAnsi="Noto Sans CJK KR"/>
      <w:b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Noto Sans CJK KR" w:hAnsi="Noto Sans CJK KR"/>
      <w:b w:val="0"/>
      <w:i/>
      <w:iCs/>
      <w:color w:val="60738A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Rail">
    <w:name w:val="Body Rail"/>
    <w:pPr>
      <w:spacing w:after="100"/>
      <w:ind w:left="255"/>
    </w:pPr>
    <w:rPr>
      <w:rFonts w:ascii="Noto Sans CJK KR" w:hAnsi="Noto Sans CJK KR"/>
      <w:b w:val="0"/>
      <w:color w:val="202124"/>
      <w:sz w:val="20"/>
    </w:rPr>
  </w:style>
  <w:style w:type="paragraph" w:customStyle="1" w:styleId="BulletRail">
    <w:name w:val="Bullet Rail"/>
    <w:pPr>
      <w:spacing w:after="60"/>
      <w:ind w:left="425" w:hanging="170"/>
    </w:pPr>
    <w:rPr>
      <w:rFonts w:ascii="Noto Sans CJK KR" w:hAnsi="Noto Sans CJK KR"/>
      <w:b w:val="0"/>
      <w:color w:val="202124"/>
      <w:sz w:val="20"/>
    </w:rPr>
  </w:style>
  <w:style w:type="paragraph" w:customStyle="1" w:styleId="FigureCaption">
    <w:name w:val="Figure Caption"/>
    <w:pPr>
      <w:spacing w:after="60"/>
    </w:pPr>
    <w:rPr>
      <w:rFonts w:ascii="Noto Sans CJK KR" w:hAnsi="Noto Sans CJK KR"/>
      <w:b/>
      <w:color w:val="17324D"/>
      <w:sz w:val="18"/>
    </w:rPr>
  </w:style>
  <w:style w:type="paragraph" w:customStyle="1" w:styleId="FigureExplain">
    <w:name w:val="Figure Explain"/>
    <w:pPr>
      <w:spacing w:after="160"/>
      <w:ind w:left="255"/>
    </w:pPr>
    <w:rPr>
      <w:rFonts w:ascii="Noto Sans CJK KR" w:hAnsi="Noto Sans CJK KR"/>
      <w:b w:val="0"/>
      <w:color w:val="60738A"/>
      <w:sz w:val="18"/>
    </w:rPr>
  </w:style>
  <w:style w:type="paragraph" w:customStyle="1" w:styleId="SourceRail">
    <w:name w:val="Source Rail"/>
    <w:pPr>
      <w:spacing w:after="120"/>
      <w:ind w:left="255"/>
    </w:pPr>
    <w:rPr>
      <w:rFonts w:ascii="Noto Sans CJK KR" w:hAnsi="Noto Sans CJK KR"/>
      <w:b w:val="0"/>
      <w:color w:val="2563EB"/>
      <w:sz w:val="18"/>
    </w:rPr>
  </w:style>
  <w:style w:type="paragraph" w:customStyle="1" w:styleId="TableTitle">
    <w:name w:val="Table Title"/>
    <w:pPr>
      <w:spacing w:after="40"/>
    </w:pPr>
    <w:rPr>
      <w:rFonts w:ascii="Noto Sans CJK KR" w:hAnsi="Noto Sans CJK KR"/>
      <w:b/>
      <w:color w:val="17324D"/>
      <w:sz w:val="20"/>
    </w:rPr>
  </w:style>
  <w:style w:type="paragraph" w:customStyle="1" w:styleId="TablePurpose">
    <w:name w:val="Table Purpose"/>
    <w:pPr>
      <w:spacing w:after="100"/>
    </w:pPr>
    <w:rPr>
      <w:rFonts w:ascii="Noto Sans CJK KR" w:hAnsi="Noto Sans CJK KR"/>
      <w:b w:val="0"/>
      <w:color w:val="60738A"/>
      <w:sz w:val="18"/>
    </w:rPr>
  </w:style>
  <w:style w:type="paragraph" w:customStyle="1" w:styleId="TOC1">
    <w:name w:val="TOC 1"/>
    <w:pPr>
      <w:spacing w:after="40"/>
    </w:pPr>
    <w:rPr>
      <w:rFonts w:ascii="Noto Sans CJK KR" w:hAnsi="Noto Sans CJK KR"/>
      <w:b/>
      <w:color w:val="17324D"/>
      <w:sz w:val="21"/>
    </w:rPr>
  </w:style>
  <w:style w:type="paragraph" w:customStyle="1" w:styleId="TOC2">
    <w:name w:val="TOC 2"/>
    <w:pPr>
      <w:spacing w:after="20"/>
      <w:ind w:left="340"/>
    </w:pPr>
    <w:rPr>
      <w:rFonts w:ascii="Noto Sans CJK KR" w:hAnsi="Noto Sans CJK KR"/>
      <w:b w:val="0"/>
      <w:color w:val="60738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