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60"/>
      </w:pPr>
      <w:r>
        <w:rPr>
          <w:rFonts w:ascii="Noto Sans KR" w:hAnsi="Noto Sans KR" w:eastAsia="Noto Sans KR" w:cs="Noto Sans KR"/>
          <w:b/>
          <w:color w:val="0F9D7A"/>
          <w:sz w:val="16"/>
        </w:rPr>
        <w:t>CORE PLATFORM FRAMEWORK</w:t>
      </w:r>
    </w:p>
    <w:p>
      <w:pPr>
        <w:pStyle w:val="Title"/>
      </w:pPr>
      <w:r>
        <w:rPr>
          <w:rFonts w:ascii="Noto Sans KR" w:hAnsi="Noto Sans KR" w:eastAsia="Noto Sans KR" w:cs="Noto Sans KR"/>
        </w:rPr>
        <w:t>산출물목록</w:t>
      </w:r>
    </w:p>
    <w:p>
      <w:pPr>
        <w:pStyle w:val="Subtitle"/>
      </w:pPr>
      <w:r>
        <w:rPr>
          <w:rFonts w:ascii="Noto Sans KR" w:hAnsi="Noto Sans KR" w:eastAsia="Noto Sans KR" w:cs="Noto Sans KR"/>
        </w:rPr>
        <w:t>파일명이 아니라 독자의 상황으로 문서를 찾는 Navigation</w:t>
      </w:r>
    </w:p>
    <w:p>
      <w:pPr>
        <w:pStyle w:val="CPFLead"/>
        <w:shd w:fill="EEF5FB"/>
        <w:pBdr>
          <w:left w:val="single" w:sz="20" w:space="8" w:color="0F9D7A"/>
        </w:pBdr>
        <w:spacing w:before="80" w:after="180"/>
        <w:ind w:left="170" w:right="113"/>
      </w:pPr>
      <w:r>
        <w:t>모든 CPF 사용자를 위한 문서 길찾기입니다. 내 역할과 하려는 일에 맞는 PDF를 바로 선택합니다.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개발자·운영자·설계/검수자별로 문서를 고릅니다.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사용자 바로 열기는 PDF만 제공합니다.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DOCX는 편집·납품용으로 ZIP에만 포함합니다.</w:t>
      </w:r>
    </w:p>
    <w:p>
      <w:r>
        <w:br w:type="page"/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1 내가 개발자라면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2 내가 운영자라면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0425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3 내가 아키텍트·검수자라면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1 내가 개발자라면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개발 시작·API 선택·오류/Transaction 구현에 필요한 문서를 먼저 엽니다.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개발자용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rHeight w:hRule="atLeast" w:val="397"/>
          <w:tblHeader w:val="true"/>
        </w:trPr>
        <w:tc>
          <w:tcPr>
            <w:tcW w:type="dxa" w:w="202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필요</w:t>
            </w:r>
          </w:p>
        </w:tc>
        <w:tc>
          <w:tcPr>
            <w:tcW w:type="dxa" w:w="365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먼저 볼 PDF</w:t>
            </w:r>
          </w:p>
        </w:tc>
        <w:tc>
          <w:tcPr>
            <w:tcW w:type="dxa" w:w="520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얻는 답</w:t>
            </w:r>
          </w:p>
        </w:tc>
      </w:tr>
      <w:tr>
        <w:trPr>
          <w:cantSplit/>
          <w:trHeight w:hRule="atLeast" w:val="351"/>
        </w:trPr>
        <w:tc>
          <w:tcPr>
            <w:tcW w:type="dxa" w:w="20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CRUD/Transaction/API</w:t>
            </w:r>
          </w:p>
        </w:tc>
        <w:tc>
          <w:tcPr>
            <w:tcW w:type="dxa" w:w="36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02_프레임워크_개발자_가이드.pdf</w:t>
            </w:r>
          </w:p>
        </w:tc>
        <w:tc>
          <w:tcPr>
            <w:tcW w:type="dxa" w:w="520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Public API·옵션·선택·실패·예제</w:t>
            </w:r>
          </w:p>
        </w:tc>
      </w:tr>
      <w:tr>
        <w:trPr>
          <w:cantSplit/>
          <w:trHeight w:hRule="atLeast" w:val="351"/>
        </w:trPr>
        <w:tc>
          <w:tcPr>
            <w:tcW w:type="dxa" w:w="20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 개발</w:t>
            </w:r>
          </w:p>
        </w:tc>
        <w:tc>
          <w:tcPr>
            <w:tcW w:type="dxa" w:w="36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03_배치_개발자_가이드.pdf</w:t>
            </w:r>
          </w:p>
        </w:tc>
        <w:tc>
          <w:tcPr>
            <w:tcW w:type="dxa" w:w="520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Job/Step/Policy/Lease/Fencing/복구</w:t>
            </w:r>
          </w:p>
        </w:tc>
      </w:tr>
      <w:tr>
        <w:trPr>
          <w:cantSplit/>
          <w:trHeight w:hRule="atLeast" w:val="351"/>
        </w:trPr>
        <w:tc>
          <w:tcPr>
            <w:tcW w:type="dxa" w:w="20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Gateway 연동</w:t>
            </w:r>
          </w:p>
        </w:tc>
        <w:tc>
          <w:tcPr>
            <w:tcW w:type="dxa" w:w="36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06_Gateway_개발_사용_가이드.pdf</w:t>
            </w:r>
          </w:p>
        </w:tc>
        <w:tc>
          <w:tcPr>
            <w:tcW w:type="dxa" w:w="520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언제 Gateway를 쓰고 언제 쓰지 않는지</w:t>
            </w:r>
          </w:p>
        </w:tc>
      </w:tr>
      <w:tr>
        <w:trPr>
          <w:cantSplit/>
          <w:trHeight w:hRule="atLeast" w:val="351"/>
        </w:trPr>
        <w:tc>
          <w:tcPr>
            <w:tcW w:type="dxa" w:w="20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정확한 계약</w:t>
            </w:r>
          </w:p>
        </w:tc>
        <w:tc>
          <w:tcPr>
            <w:tcW w:type="dxa" w:w="365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07_Specification_기술_명세.pdf</w:t>
            </w:r>
          </w:p>
        </w:tc>
        <w:tc>
          <w:tcPr>
            <w:tcW w:type="dxa" w:w="520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Stack/Public Contract/Identity/DB3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2 내가 운영자라면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장애·Batch·배포·DB 변경을 안전하게 처리할 문서를 고릅니다.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운영자용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rHeight w:hRule="atLeast" w:val="397"/>
          <w:tblHeader w:val="true"/>
        </w:trPr>
        <w:tc>
          <w:tcPr>
            <w:tcW w:type="dxa" w:w="245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필요</w:t>
            </w:r>
          </w:p>
        </w:tc>
        <w:tc>
          <w:tcPr>
            <w:tcW w:type="dxa" w:w="333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먼저 볼 PDF</w:t>
            </w:r>
          </w:p>
        </w:tc>
        <w:tc>
          <w:tcPr>
            <w:tcW w:type="dxa" w:w="509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얻는 답</w:t>
            </w:r>
          </w:p>
        </w:tc>
      </w:tr>
      <w:tr>
        <w:trPr>
          <w:cantSplit/>
          <w:trHeight w:hRule="atLeast" w:val="351"/>
        </w:trPr>
        <w:tc>
          <w:tcPr>
            <w:tcW w:type="dxa" w:w="24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장애/배포/복구</w:t>
            </w:r>
          </w:p>
        </w:tc>
        <w:tc>
          <w:tcPr>
            <w:tcW w:type="dxa" w:w="333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04_운영자_매뉴얼.pdf</w:t>
            </w:r>
          </w:p>
        </w:tc>
        <w:tc>
          <w:tcPr>
            <w:tcW w:type="dxa" w:w="50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상태별 런북/승인/DB migration</w:t>
            </w:r>
          </w:p>
        </w:tc>
      </w:tr>
      <w:tr>
        <w:trPr>
          <w:cantSplit/>
          <w:trHeight w:hRule="atLeast" w:val="351"/>
        </w:trPr>
        <w:tc>
          <w:tcPr>
            <w:tcW w:type="dxa" w:w="24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Batch 운영</w:t>
            </w:r>
          </w:p>
        </w:tc>
        <w:tc>
          <w:tcPr>
            <w:tcW w:type="dxa" w:w="333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05_배치_운영_가이드.pdf</w:t>
            </w:r>
          </w:p>
        </w:tc>
        <w:tc>
          <w:tcPr>
            <w:tcW w:type="dxa" w:w="50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stop/restart/rerun/reconcile</w:t>
            </w:r>
          </w:p>
        </w:tc>
      </w:tr>
      <w:tr>
        <w:trPr>
          <w:cantSplit/>
          <w:trHeight w:hRule="atLeast" w:val="351"/>
        </w:trPr>
        <w:tc>
          <w:tcPr>
            <w:tcW w:type="dxa" w:w="245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구조 파악</w:t>
            </w:r>
          </w:p>
        </w:tc>
        <w:tc>
          <w:tcPr>
            <w:tcW w:type="dxa" w:w="333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아키텍처설계서.pdf</w:t>
            </w:r>
          </w:p>
        </w:tc>
        <w:tc>
          <w:tcPr>
            <w:tcW w:type="dxa" w:w="509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Owner/호출/DB3/Operations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3 내가 아키텍트·검수자라면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구조·표준·DB·기술 사양을 교차 확인합니다.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설계/검수용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rHeight w:hRule="atLeast" w:val="397"/>
          <w:tblHeader w:val="true"/>
        </w:trPr>
        <w:tc>
          <w:tcPr>
            <w:tcW w:type="dxa" w:w="289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필요</w:t>
            </w:r>
          </w:p>
        </w:tc>
        <w:tc>
          <w:tcPr>
            <w:tcW w:type="dxa" w:w="360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PDF</w:t>
            </w:r>
          </w:p>
        </w:tc>
        <w:tc>
          <w:tcPr>
            <w:tcW w:type="dxa" w:w="438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핵심</w:t>
            </w:r>
          </w:p>
        </w:tc>
      </w:tr>
      <w:tr>
        <w:trPr>
          <w:cantSplit/>
          <w:trHeight w:hRule="atLeast" w:val="351"/>
        </w:trPr>
        <w:tc>
          <w:tcPr>
            <w:tcW w:type="dxa" w:w="28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Architecture</w:t>
            </w:r>
          </w:p>
        </w:tc>
        <w:tc>
          <w:tcPr>
            <w:tcW w:type="dxa" w:w="36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아키텍처설계서.pdf</w:t>
            </w:r>
          </w:p>
        </w:tc>
        <w:tc>
          <w:tcPr>
            <w:tcW w:type="dxa" w:w="43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Owner/Dependency/Topology</w:t>
            </w:r>
          </w:p>
        </w:tc>
      </w:tr>
      <w:tr>
        <w:trPr>
          <w:cantSplit/>
          <w:trHeight w:hRule="atLeast" w:val="351"/>
        </w:trPr>
        <w:tc>
          <w:tcPr>
            <w:tcW w:type="dxa" w:w="28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기술 Stack/계약</w:t>
            </w:r>
          </w:p>
        </w:tc>
        <w:tc>
          <w:tcPr>
            <w:tcW w:type="dxa" w:w="36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기술사양서.pdf</w:t>
            </w:r>
          </w:p>
        </w:tc>
        <w:tc>
          <w:tcPr>
            <w:tcW w:type="dxa" w:w="43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기술 구성/Public surface</w:t>
            </w:r>
          </w:p>
        </w:tc>
      </w:tr>
      <w:tr>
        <w:trPr>
          <w:cantSplit/>
          <w:trHeight w:hRule="atLeast" w:val="351"/>
        </w:trPr>
        <w:tc>
          <w:tcPr>
            <w:tcW w:type="dxa" w:w="28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개발 규칙</w:t>
            </w:r>
          </w:p>
        </w:tc>
        <w:tc>
          <w:tcPr>
            <w:tcW w:type="dxa" w:w="36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기술표준서.pdf</w:t>
            </w:r>
          </w:p>
        </w:tc>
        <w:tc>
          <w:tcPr>
            <w:tcW w:type="dxa" w:w="43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MUST/MUST NOT</w:t>
            </w:r>
          </w:p>
        </w:tc>
      </w:tr>
      <w:tr>
        <w:trPr>
          <w:cantSplit/>
          <w:trHeight w:hRule="atLeast" w:val="351"/>
        </w:trPr>
        <w:tc>
          <w:tcPr>
            <w:tcW w:type="dxa" w:w="28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</w:t>
            </w:r>
          </w:p>
        </w:tc>
        <w:tc>
          <w:tcPr>
            <w:tcW w:type="dxa" w:w="36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데이터베이스표준서.pdf</w:t>
            </w:r>
          </w:p>
        </w:tc>
        <w:tc>
          <w:tcPr>
            <w:tcW w:type="dxa" w:w="43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DB3/Lifecycle/Recovery</w:t>
            </w:r>
          </w:p>
        </w:tc>
      </w:tr>
      <w:tr>
        <w:trPr>
          <w:cantSplit/>
          <w:trHeight w:hRule="atLeast" w:val="351"/>
        </w:trPr>
        <w:tc>
          <w:tcPr>
            <w:tcW w:type="dxa" w:w="289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전체 목록</w:t>
            </w:r>
          </w:p>
        </w:tc>
        <w:tc>
          <w:tcPr>
            <w:tcW w:type="dxa" w:w="360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산출물목록.pdf</w:t>
            </w:r>
          </w:p>
        </w:tc>
        <w:tc>
          <w:tcPr>
            <w:tcW w:type="dxa" w:w="438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역할별 진입점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산출물목록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80"/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100" w:after="140" w:line="240" w:lineRule="auto"/>
      <w:ind w:left="283" w:right="170"/>
    </w:pPr>
    <w:rPr>
      <w:rFonts w:ascii="Noto Sans KR" w:hAnsi="Noto Sans KR" w:eastAsia="DejaVu Sans Mono"/>
      <w:b w:val="0"/>
      <w:color w:val="F4F8FC"/>
      <w:sz w:val="18"/>
    </w:rPr>
  </w:style>
  <w:style w:type="paragraph" w:customStyle="1" w:styleId="CPFCaption">
    <w:name w:val="CPF Caption"/>
    <w:pPr>
      <w:spacing w:before="60" w:after="160"/>
      <w:ind w:left="255" w:right="255"/>
    </w:pPr>
    <w:rPr>
      <w:rFonts w:ascii="Noto Sans KR" w:hAnsi="Noto Sans KR" w:eastAsia="Noto Sans KR"/>
      <w:color w:val="5E7186"/>
      <w:sz w:val="18"/>
    </w:rPr>
  </w:style>
  <w:style w:type="paragraph" w:customStyle="1" w:styleId="CPFLabel">
    <w:name w:val="CPF Label"/>
    <w:pPr>
      <w:keepNext/>
      <w:spacing w:before="200" w:after="80"/>
      <w:ind w:left="255"/>
    </w:pPr>
    <w:rPr>
      <w:rFonts w:ascii="Noto Sans KR" w:hAnsi="Noto Sans KR" w:eastAsia="Noto Sans KR"/>
      <w:b/>
      <w:color w:val="4F46E5"/>
      <w:sz w:val="20"/>
    </w:rPr>
  </w:style>
  <w:style w:type="paragraph" w:customStyle="1" w:styleId="CPFLead">
    <w:name w:val="CPF Lead"/>
    <w:basedOn w:val="Normal"/>
    <w:pPr>
      <w:spacing w:before="60" w:after="180" w:line="283" w:lineRule="auto"/>
    </w:pPr>
    <w:rPr>
      <w:rFonts w:ascii="Noto Sans KR" w:hAnsi="Noto Sans KR"/>
      <w:b w:val="0"/>
      <w:color w:val="243547"/>
      <w:sz w:val="20"/>
    </w:rPr>
  </w:style>
  <w:style w:type="paragraph" w:customStyle="1" w:styleId="CPFSectionLead">
    <w:name w:val="CPF Section Lead"/>
    <w:basedOn w:val="Normal"/>
    <w:pPr>
      <w:spacing w:before="40" w:after="160" w:line="276" w:lineRule="auto"/>
    </w:pPr>
    <w:rPr>
      <w:rFonts w:ascii="Noto Sans KR" w:hAnsi="Noto Sans KR"/>
      <w:b w:val="0"/>
      <w:color w:val="243547"/>
      <w:sz w:val="19"/>
    </w:rPr>
  </w:style>
  <w:style w:type="paragraph" w:customStyle="1" w:styleId="CPFCallout">
    <w:name w:val="CPF Callout"/>
    <w:basedOn w:val="Normal"/>
    <w:pPr>
      <w:spacing w:before="80" w:after="140" w:line="269" w:lineRule="auto"/>
    </w:pPr>
    <w:rPr>
      <w:rFonts w:ascii="Noto Sans KR" w:hAnsi="Noto Sans KR"/>
      <w:b w:val="0"/>
      <w:color w:val="243547"/>
      <w:sz w:val="19"/>
    </w:rPr>
  </w:style>
  <w:style w:type="paragraph" w:customStyle="1" w:styleId="CPFWarning">
    <w:name w:val="CPF Warning"/>
    <w:basedOn w:val="Normal"/>
    <w:pPr>
      <w:spacing w:before="80" w:after="140" w:line="269" w:lineRule="auto"/>
    </w:pPr>
    <w:rPr>
      <w:rFonts w:ascii="Noto Sans KR" w:hAnsi="Noto Sans KR"/>
      <w:b w:val="0"/>
      <w:color w:val="A85600"/>
      <w:sz w:val="19"/>
    </w:rPr>
  </w:style>
  <w:style w:type="paragraph" w:customStyle="1" w:styleId="CPFSource">
    <w:name w:val="CPF Source"/>
    <w:basedOn w:val="Normal"/>
    <w:pPr>
      <w:spacing w:before="60" w:after="120" w:line="252" w:lineRule="auto"/>
    </w:pPr>
    <w:rPr>
      <w:rFonts w:ascii="Noto Sans KR" w:hAnsi="Noto Sans KR"/>
      <w:b w:val="0"/>
      <w:color w:val="5E7186"/>
      <w:sz w:val="18"/>
    </w:rPr>
  </w:style>
  <w:style w:type="paragraph" w:customStyle="1" w:styleId="CPFTOCEntry">
    <w:name w:val="CPF TOC Entry"/>
    <w:basedOn w:val="Normal"/>
    <w:pPr>
      <w:spacing w:before="0" w:after="50" w:line="252" w:lineRule="auto"/>
      <w:ind w:left="113"/>
    </w:pPr>
    <w:rPr>
      <w:rFonts w:ascii="Noto Sans KR" w:hAnsi="Noto Sans KR"/>
      <w:b w:val="0"/>
      <w:color w:val="24354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