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60"/>
      </w:pPr>
      <w:r>
        <w:rPr>
          <w:rFonts w:ascii="Noto Sans KR" w:hAnsi="Noto Sans KR" w:eastAsia="Noto Sans KR" w:cs="Noto Sans KR"/>
          <w:b/>
          <w:color w:val="0F9D7A"/>
          <w:sz w:val="16"/>
        </w:rPr>
        <w:t>CORE PLATFORM FRAMEWORK</w:t>
      </w:r>
    </w:p>
    <w:p>
      <w:pPr>
        <w:pStyle w:val="Title"/>
      </w:pPr>
      <w:r>
        <w:rPr>
          <w:rFonts w:ascii="Noto Sans KR" w:hAnsi="Noto Sans KR" w:eastAsia="Noto Sans KR" w:cs="Noto Sans KR"/>
        </w:rPr>
        <w:t>배치 운영 가이드</w:t>
      </w:r>
    </w:p>
    <w:p>
      <w:pPr>
        <w:pStyle w:val="Subtitle"/>
      </w:pPr>
      <w:r>
        <w:rPr>
          <w:rFonts w:ascii="Noto Sans KR" w:hAnsi="Noto Sans KR" w:eastAsia="Noto Sans KR" w:cs="Noto Sans KR"/>
        </w:rPr>
        <w:t>실행 상태·Lease·Checkpoint를 보고 Batch 복구 조치를 선택하는 운영 참조서</w:t>
      </w:r>
    </w:p>
    <w:p>
      <w:pPr>
        <w:pStyle w:val="CPFLead"/>
        <w:shd w:fill="EEF5FB"/>
        <w:pBdr>
          <w:left w:val="single" w:sz="20" w:space="8" w:color="0F9D7A"/>
        </w:pBdr>
        <w:spacing w:before="80" w:after="180"/>
        <w:ind w:left="170" w:right="113"/>
      </w:pPr>
      <w:r>
        <w:t>Batch 운영자·SRE를 위한 운영 참조서입니다. stop/restart/rerun/reconcile을 안전하게 선택하고 실행 상태를 확정합니다.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상태를 추정하지 않고 ledger/lease/checkpoint를 확인합니다.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Process Kill 후 stale worker 쓰기를 fencing으로 막습니다.</w:t>
      </w:r>
    </w:p>
    <w:p>
      <w:pPr>
        <w:pStyle w:val="ListBullet"/>
        <w:spacing w:after="64" w:line="269" w:lineRule="auto"/>
        <w:ind w:left="283"/>
      </w:pPr>
      <w:r>
        <w:rPr>
          <w:rFonts w:ascii="Noto Sans KR" w:hAnsi="Noto Sans KR" w:eastAsia="Noto Sans KR" w:cs="Noto Sans KR"/>
          <w:color w:val="243547"/>
          <w:sz w:val="20"/>
        </w:rPr>
        <w:t>UNKNOWN을 reconcile해 최종 상태로 닫습니다.</w:t>
      </w:r>
    </w:p>
    <w:p>
      <w:r>
        <w:br w:type="page"/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1 Batch 상태를 보고 다음 행동 선택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2 Process Kill과 다중 Worker 복구</w:t>
      </w:r>
      <w:r>
        <w:tab/>
      </w:r>
      <w:r>
        <w:rPr>
          <w:rFonts w:ascii="Noto Sans KR" w:hAnsi="Noto Sans KR"/>
          <w:b/>
          <w:color w:val="17324D"/>
          <w:sz w:val="20"/>
        </w:rPr>
        <w:t>2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3 재시작 · Rerun · Reconcile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4 Center-Cut과 위험 제어</w:t>
      </w:r>
      <w:r>
        <w:tab/>
      </w:r>
      <w:r>
        <w:rPr>
          <w:rFonts w:ascii="Noto Sans KR" w:hAnsi="Noto Sans KR"/>
          <w:b/>
          <w:color w:val="17324D"/>
          <w:sz w:val="20"/>
        </w:rPr>
        <w:t>3</w:t>
      </w:r>
    </w:p>
    <w:p>
      <w:pPr>
        <w:pStyle w:val="CPFTOCEntry"/>
        <w:tabs>
          <w:tab w:pos="15357" w:val="right" w:leader="dot"/>
        </w:tabs>
        <w:spacing w:after="56"/>
        <w:ind w:left="259"/>
      </w:pPr>
      <w:r>
        <w:rPr>
          <w:rFonts w:ascii="Noto Sans KR" w:hAnsi="Noto Sans KR"/>
          <w:color w:val="243547"/>
          <w:sz w:val="20"/>
        </w:rPr>
        <w:t>5 Batch DB3 확인</w:t>
      </w:r>
      <w:r>
        <w:tab/>
      </w:r>
      <w:r>
        <w:rPr>
          <w:rFonts w:ascii="Noto Sans KR" w:hAnsi="Noto Sans KR"/>
          <w:b/>
          <w:color w:val="17324D"/>
          <w:sz w:val="20"/>
        </w:rPr>
        <w:t>4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1 Batch 상태를 보고 다음 행동 선택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실행 상태와 lease/checkpoint/ledger를 같이 보고 stop/restart/rerun/reconcile 중 하나를 고릅니다.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상태별 조치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rHeight w:hRule="atLeast" w:val="397"/>
          <w:tblHeader w:val="true"/>
        </w:trPr>
        <w:tc>
          <w:tcPr>
            <w:tcW w:type="dxa" w:w="4029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관찰</w:t>
            </w:r>
          </w:p>
        </w:tc>
        <w:tc>
          <w:tcPr>
            <w:tcW w:type="dxa" w:w="333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의미</w:t>
            </w:r>
          </w:p>
        </w:tc>
        <w:tc>
          <w:tcPr>
            <w:tcW w:type="dxa" w:w="514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허용 조치</w:t>
            </w:r>
          </w:p>
        </w:tc>
        <w:tc>
          <w:tcPr>
            <w:tcW w:type="dxa" w:w="3311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금지</w:t>
            </w:r>
          </w:p>
        </w:tc>
      </w:tr>
      <w:tr>
        <w:trPr>
          <w:cantSplit/>
          <w:trHeight w:hRule="atLeast" w:val="351"/>
        </w:trPr>
        <w:tc>
          <w:tcPr>
            <w:tcW w:type="dxa" w:w="40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RUNNING + lease current</w:t>
            </w:r>
          </w:p>
        </w:tc>
        <w:tc>
          <w:tcPr>
            <w:tcW w:type="dxa" w:w="333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정상 실행</w:t>
            </w:r>
          </w:p>
        </w:tc>
        <w:tc>
          <w:tcPr>
            <w:tcW w:type="dxa" w:w="514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관찰/stop 요청</w:t>
            </w:r>
          </w:p>
        </w:tc>
        <w:tc>
          <w:tcPr>
            <w:tcW w:type="dxa" w:w="33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중복 start</w:t>
            </w:r>
          </w:p>
        </w:tc>
      </w:tr>
      <w:tr>
        <w:trPr>
          <w:cantSplit/>
          <w:trHeight w:hRule="atLeast" w:val="351"/>
        </w:trPr>
        <w:tc>
          <w:tcPr>
            <w:tcW w:type="dxa" w:w="40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RUNNING + lease stale</w:t>
            </w:r>
          </w:p>
        </w:tc>
        <w:tc>
          <w:tcPr>
            <w:tcW w:type="dxa" w:w="333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Worker 불확정</w:t>
            </w:r>
          </w:p>
        </w:tc>
        <w:tc>
          <w:tcPr>
            <w:tcW w:type="dxa" w:w="514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fence 확인/reconcile</w:t>
            </w:r>
          </w:p>
        </w:tc>
        <w:tc>
          <w:tcPr>
            <w:tcW w:type="dxa" w:w="33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stale worker 신뢰</w:t>
            </w:r>
          </w:p>
        </w:tc>
      </w:tr>
      <w:tr>
        <w:trPr>
          <w:cantSplit/>
          <w:trHeight w:hRule="atLeast" w:val="351"/>
        </w:trPr>
        <w:tc>
          <w:tcPr>
            <w:tcW w:type="dxa" w:w="40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FAILED</w:t>
            </w:r>
          </w:p>
        </w:tc>
        <w:tc>
          <w:tcPr>
            <w:tcW w:type="dxa" w:w="333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확정 실패</w:t>
            </w:r>
          </w:p>
        </w:tc>
        <w:tc>
          <w:tcPr>
            <w:tcW w:type="dxa" w:w="514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retry/restart 조건 검토</w:t>
            </w:r>
          </w:p>
        </w:tc>
        <w:tc>
          <w:tcPr>
            <w:tcW w:type="dxa" w:w="33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원인 미확인 rerun</w:t>
            </w:r>
          </w:p>
        </w:tc>
      </w:tr>
      <w:tr>
        <w:trPr>
          <w:cantSplit/>
          <w:trHeight w:hRule="atLeast" w:val="351"/>
        </w:trPr>
        <w:tc>
          <w:tcPr>
            <w:tcW w:type="dxa" w:w="40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UNKNOWN</w:t>
            </w:r>
          </w:p>
        </w:tc>
        <w:tc>
          <w:tcPr>
            <w:tcW w:type="dxa" w:w="333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결과 미확정</w:t>
            </w:r>
          </w:p>
        </w:tc>
        <w:tc>
          <w:tcPr>
            <w:tcW w:type="dxa" w:w="514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ledger/probe/reconcile</w:t>
            </w:r>
          </w:p>
        </w:tc>
        <w:tc>
          <w:tcPr>
            <w:tcW w:type="dxa" w:w="33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blind retry</w:t>
            </w:r>
          </w:p>
        </w:tc>
      </w:tr>
      <w:tr>
        <w:trPr>
          <w:cantSplit/>
          <w:trHeight w:hRule="atLeast" w:val="351"/>
        </w:trPr>
        <w:tc>
          <w:tcPr>
            <w:tcW w:type="dxa" w:w="40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COMPLETED</w:t>
            </w:r>
          </w:p>
        </w:tc>
        <w:tc>
          <w:tcPr>
            <w:tcW w:type="dxa" w:w="333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완료</w:t>
            </w:r>
          </w:p>
        </w:tc>
        <w:tc>
          <w:tcPr>
            <w:tcW w:type="dxa" w:w="514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결과 검증/필요시 새 rerun</w:t>
            </w:r>
          </w:p>
        </w:tc>
        <w:tc>
          <w:tcPr>
            <w:tcW w:type="dxa" w:w="33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동일 execution restart</w:t>
            </w:r>
          </w:p>
        </w:tc>
      </w:tr>
      <w:tr>
        <w:trPr>
          <w:cantSplit/>
          <w:trHeight w:hRule="atLeast" w:val="351"/>
        </w:trPr>
        <w:tc>
          <w:tcPr>
            <w:tcW w:type="dxa" w:w="4029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ABANDONED</w:t>
            </w:r>
          </w:p>
        </w:tc>
        <w:tc>
          <w:tcPr>
            <w:tcW w:type="dxa" w:w="333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운영 종료</w:t>
            </w:r>
          </w:p>
        </w:tc>
        <w:tc>
          <w:tcPr>
            <w:tcW w:type="dxa" w:w="514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새 실행 정책</w:t>
            </w:r>
          </w:p>
        </w:tc>
        <w:tc>
          <w:tcPr>
            <w:tcW w:type="dxa" w:w="3311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기존 실행 재개</w:t>
            </w:r>
          </w:p>
        </w:tc>
      </w:tr>
    </w:tbl>
    <w:p>
      <w:pPr>
        <w:pStyle w:val="CPFCaption"/>
        <w:jc w:val="left"/>
      </w:pPr>
      <w:r>
        <w:rPr>
          <w:rFonts w:ascii="Noto Sans KR" w:hAnsi="Noto Sans KR" w:eastAsia="Noto Sans KR" w:cs="Noto Sans KR"/>
        </w:rPr>
        <w:t>운영자는 Control Plane의 상태만 보지 않고 Lease/Fencing/Checkpoint와 실제 Execution 결과를 함께 확인해 다음 조치를 결정합니다.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2 Process Kill과 다중 Worker 복구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Worker가 죽어도 이전 Worker의 늦은 쓰기가 들어오지 않게 fencing을 확인한 뒤 새 실행권을 넘깁니다.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Lease TTL 만료만 보고 즉시 재처리하지 않습니다.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새 Worker가 현재 fencing token을 획득한 뒤 side effect를 수행합니다.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Checkpoint와 ledger가 불일치하면 UNKNOWN으로 두고 reconcile합니다.</w:t>
      </w:r>
    </w:p>
    <w:p>
      <w:pPr>
        <w:pStyle w:val="ListBullet"/>
        <w:spacing w:after="64" w:line="269" w:lineRule="auto"/>
        <w:ind w:left="454" w:hanging="198"/>
      </w:pPr>
      <w:r>
        <w:rPr>
          <w:rFonts w:ascii="Noto Sans KR" w:hAnsi="Noto Sans KR" w:eastAsia="Noto Sans KR" w:cs="Noto Sans KR"/>
          <w:color w:val="243547"/>
          <w:sz w:val="20"/>
        </w:rPr>
        <w:t>같은 Host 다중 Process는 명시 instanceId가 필요합니다.</w:t>
      </w:r>
    </w:p>
    <w:p>
      <w:pPr>
        <w:pStyle w:val="Heading1"/>
        <w:keepNext/>
      </w:pPr>
      <w:r>
        <w:rPr>
          <w:rFonts w:ascii="Noto Sans KR" w:hAnsi="Noto Sans KR" w:eastAsia="Noto Sans KR" w:cs="Noto Sans KR"/>
        </w:rPr>
        <w:t>3 재시작 · Rerun · Reconcile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세 동작의 의미를 섞지 않습니다.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복구 동작 비교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rHeight w:hRule="atLeast" w:val="397"/>
          <w:tblHeader w:val="true"/>
        </w:trPr>
        <w:tc>
          <w:tcPr>
            <w:tcW w:type="dxa" w:w="2927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동작</w:t>
            </w:r>
          </w:p>
        </w:tc>
        <w:tc>
          <w:tcPr>
            <w:tcW w:type="dxa" w:w="373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5096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같은 execution?</w:t>
            </w:r>
          </w:p>
        </w:tc>
        <w:tc>
          <w:tcPr>
            <w:tcW w:type="dxa" w:w="4058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주요 위험</w:t>
            </w:r>
          </w:p>
        </w:tc>
      </w:tr>
      <w:tr>
        <w:trPr>
          <w:cantSplit/>
          <w:trHeight w:hRule="atLeast" w:val="351"/>
        </w:trPr>
        <w:tc>
          <w:tcPr>
            <w:tcW w:type="dxa" w:w="29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restart</w:t>
            </w:r>
          </w:p>
        </w:tc>
        <w:tc>
          <w:tcPr>
            <w:tcW w:type="dxa" w:w="373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Checkpoint</w:t>
            </w:r>
          </w:p>
        </w:tc>
        <w:tc>
          <w:tcPr>
            <w:tcW w:type="dxa" w:w="50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정책에 따름</w:t>
            </w:r>
          </w:p>
        </w:tc>
        <w:tc>
          <w:tcPr>
            <w:tcW w:type="dxa" w:w="405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중복 step/side effect</w:t>
            </w:r>
          </w:p>
        </w:tc>
      </w:tr>
      <w:tr>
        <w:trPr>
          <w:cantSplit/>
          <w:trHeight w:hRule="atLeast" w:val="351"/>
        </w:trPr>
        <w:tc>
          <w:tcPr>
            <w:tcW w:type="dxa" w:w="29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rerun</w:t>
            </w:r>
          </w:p>
        </w:tc>
        <w:tc>
          <w:tcPr>
            <w:tcW w:type="dxa" w:w="373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새 업무 실행</w:t>
            </w:r>
          </w:p>
        </w:tc>
        <w:tc>
          <w:tcPr>
            <w:tcW w:type="dxa" w:w="50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아니오</w:t>
            </w:r>
          </w:p>
        </w:tc>
        <w:tc>
          <w:tcPr>
            <w:tcW w:type="dxa" w:w="405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업무키 중복</w:t>
            </w:r>
          </w:p>
        </w:tc>
      </w:tr>
      <w:tr>
        <w:trPr>
          <w:cantSplit/>
          <w:trHeight w:hRule="atLeast" w:val="351"/>
        </w:trPr>
        <w:tc>
          <w:tcPr>
            <w:tcW w:type="dxa" w:w="29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retry</w:t>
            </w:r>
          </w:p>
        </w:tc>
        <w:tc>
          <w:tcPr>
            <w:tcW w:type="dxa" w:w="373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실패 attempt</w:t>
            </w:r>
          </w:p>
        </w:tc>
        <w:tc>
          <w:tcPr>
            <w:tcW w:type="dxa" w:w="50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실행 의미 유지</w:t>
            </w:r>
          </w:p>
        </w:tc>
        <w:tc>
          <w:tcPr>
            <w:tcW w:type="dxa" w:w="405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retry unsafe</w:t>
            </w:r>
          </w:p>
        </w:tc>
      </w:tr>
      <w:tr>
        <w:trPr>
          <w:cantSplit/>
          <w:trHeight w:hRule="atLeast" w:val="351"/>
        </w:trPr>
        <w:tc>
          <w:tcPr>
            <w:tcW w:type="dxa" w:w="2927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reconcile</w:t>
            </w:r>
          </w:p>
        </w:tc>
        <w:tc>
          <w:tcPr>
            <w:tcW w:type="dxa" w:w="373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외부/ledger 실제 상태</w:t>
            </w:r>
          </w:p>
        </w:tc>
        <w:tc>
          <w:tcPr>
            <w:tcW w:type="dxa" w:w="5096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상태 확정</w:t>
            </w:r>
          </w:p>
        </w:tc>
        <w:tc>
          <w:tcPr>
            <w:tcW w:type="dxa" w:w="4058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성공/실패 추정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4 Center-Cut과 위험 제어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대량 실행/중지/재처리는 Permission·Reason·Approval·Audit를 기본으로 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운영 승인 Check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rHeight w:hRule="atLeast" w:val="397"/>
          <w:tblHeader w:val="true"/>
        </w:trPr>
        <w:tc>
          <w:tcPr>
            <w:tcW w:type="dxa" w:w="6085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9732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반드시 남길 값</w:t>
            </w:r>
          </w:p>
        </w:tc>
      </w:tr>
      <w:tr>
        <w:trPr>
          <w:cantSplit/>
          <w:trHeight w:hRule="atLeast" w:val="351"/>
        </w:trPr>
        <w:tc>
          <w:tcPr>
            <w:tcW w:type="dxa" w:w="60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대상</w:t>
            </w:r>
          </w:p>
        </w:tc>
        <w:tc>
          <w:tcPr>
            <w:tcW w:type="dxa" w:w="97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job/operation/business key 범위</w:t>
            </w:r>
          </w:p>
        </w:tc>
      </w:tr>
      <w:tr>
        <w:trPr>
          <w:cantSplit/>
          <w:trHeight w:hRule="atLeast" w:val="351"/>
        </w:trPr>
        <w:tc>
          <w:tcPr>
            <w:tcW w:type="dxa" w:w="60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실행자</w:t>
            </w:r>
          </w:p>
        </w:tc>
        <w:tc>
          <w:tcPr>
            <w:tcW w:type="dxa" w:w="97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operator/user/instance</w:t>
            </w:r>
          </w:p>
        </w:tc>
      </w:tr>
      <w:tr>
        <w:trPr>
          <w:cantSplit/>
          <w:trHeight w:hRule="atLeast" w:val="351"/>
        </w:trPr>
        <w:tc>
          <w:tcPr>
            <w:tcW w:type="dxa" w:w="60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사유</w:t>
            </w:r>
          </w:p>
        </w:tc>
        <w:tc>
          <w:tcPr>
            <w:tcW w:type="dxa" w:w="97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reason</w:t>
            </w:r>
          </w:p>
        </w:tc>
      </w:tr>
      <w:tr>
        <w:trPr>
          <w:cantSplit/>
          <w:trHeight w:hRule="atLeast" w:val="351"/>
        </w:trPr>
        <w:tc>
          <w:tcPr>
            <w:tcW w:type="dxa" w:w="60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승인</w:t>
            </w:r>
          </w:p>
        </w:tc>
        <w:tc>
          <w:tcPr>
            <w:tcW w:type="dxa" w:w="97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approval reference</w:t>
            </w:r>
          </w:p>
        </w:tc>
      </w:tr>
      <w:tr>
        <w:trPr>
          <w:cantSplit/>
          <w:trHeight w:hRule="atLeast" w:val="351"/>
        </w:trPr>
        <w:tc>
          <w:tcPr>
            <w:tcW w:type="dxa" w:w="60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결과</w:t>
            </w:r>
          </w:p>
        </w:tc>
        <w:tc>
          <w:tcPr>
            <w:tcW w:type="dxa" w:w="97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성공/실패/UNKNOWN/건수</w:t>
            </w:r>
          </w:p>
        </w:tc>
      </w:tr>
      <w:tr>
        <w:trPr>
          <w:cantSplit/>
          <w:trHeight w:hRule="atLeast" w:val="351"/>
        </w:trPr>
        <w:tc>
          <w:tcPr>
            <w:tcW w:type="dxa" w:w="608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후속</w:t>
            </w:r>
          </w:p>
        </w:tc>
        <w:tc>
          <w:tcPr>
            <w:tcW w:type="dxa" w:w="9732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reconcile/retry/rollback</w:t>
            </w:r>
          </w:p>
        </w:tc>
      </w:tr>
    </w:tbl>
    <w:p>
      <w:pPr>
        <w:pStyle w:val="Heading1"/>
        <w:keepNext/>
      </w:pPr>
      <w:r>
        <w:rPr>
          <w:rFonts w:ascii="Noto Sans KR" w:hAnsi="Noto Sans KR" w:eastAsia="Noto Sans KR" w:cs="Noto Sans KR"/>
        </w:rPr>
        <w:t>5 Batch DB3 확인</w:t>
      </w:r>
    </w:p>
    <w:p>
      <w:pPr>
        <w:spacing w:before="80" w:after="200"/>
        <w:ind w:left="170" w:right="113"/>
        <w:shd w:fill="F3F7FA"/>
        <w:pStyle w:val="CPFSectionLead"/>
        <w:pBdr>
          <w:left w:val="single" w:sz="16" w:space="7" w:color="8AA4BE"/>
        </w:pBdr>
      </w:pPr>
      <w:r>
        <w:rPr>
          <w:rFonts w:ascii="Noto Sans KR" w:hAnsi="Noto Sans KR" w:eastAsia="Noto Sans KR" w:cs="Noto Sans KR"/>
        </w:rPr>
        <w:t>Batch 원장과 업무 데이터가 Oracle/PostgreSQL/MariaDB에서 동일한 lifecycle을 만족하는지 확인합니다.</w:t>
      </w:r>
    </w:p>
    <w:p>
      <w:pPr>
        <w:pStyle w:val="CPFLabel"/>
      </w:pPr>
      <w:r>
        <w:rPr>
          <w:rFonts w:ascii="Noto Sans KR" w:hAnsi="Noto Sans KR" w:eastAsia="Noto Sans KR" w:cs="Noto Sans KR"/>
        </w:rPr>
        <w:t>DB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rHeight w:hRule="atLeast" w:val="397"/>
          <w:tblHeader w:val="true"/>
        </w:trPr>
        <w:tc>
          <w:tcPr>
            <w:tcW w:type="dxa" w:w="462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56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Oracle</w:t>
            </w:r>
          </w:p>
        </w:tc>
        <w:tc>
          <w:tcPr>
            <w:tcW w:type="dxa" w:w="4073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PostgreSQL</w:t>
            </w:r>
          </w:p>
        </w:tc>
        <w:tc>
          <w:tcPr>
            <w:tcW w:type="dxa" w:w="3560"/>
            <w:shd w:fill="0D2B45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MariaDB</w:t>
            </w:r>
          </w:p>
        </w:tc>
      </w:tr>
      <w:tr>
        <w:trPr>
          <w:cantSplit/>
          <w:trHeight w:hRule="atLeast" w:val="351"/>
        </w:trPr>
        <w:tc>
          <w:tcPr>
            <w:tcW w:type="dxa" w:w="46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Schema/Migration</w:t>
            </w:r>
          </w:p>
        </w:tc>
        <w:tc>
          <w:tcPr>
            <w:tcW w:type="dxa" w:w="35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검증</w:t>
            </w:r>
          </w:p>
        </w:tc>
        <w:tc>
          <w:tcPr>
            <w:tcW w:type="dxa" w:w="40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검증</w:t>
            </w:r>
          </w:p>
        </w:tc>
        <w:tc>
          <w:tcPr>
            <w:tcW w:type="dxa" w:w="35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검증</w:t>
            </w:r>
          </w:p>
        </w:tc>
      </w:tr>
      <w:tr>
        <w:trPr>
          <w:cantSplit/>
          <w:trHeight w:hRule="atLeast" w:val="351"/>
        </w:trPr>
        <w:tc>
          <w:tcPr>
            <w:tcW w:type="dxa" w:w="46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Index/Lock</w:t>
            </w:r>
          </w:p>
        </w:tc>
        <w:tc>
          <w:tcPr>
            <w:tcW w:type="dxa" w:w="35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실제 plan/lock</w:t>
            </w:r>
          </w:p>
        </w:tc>
        <w:tc>
          <w:tcPr>
            <w:tcW w:type="dxa" w:w="40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실제 plan/lock</w:t>
            </w:r>
          </w:p>
        </w:tc>
        <w:tc>
          <w:tcPr>
            <w:tcW w:type="dxa" w:w="35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실제 plan/lock</w:t>
            </w:r>
          </w:p>
        </w:tc>
      </w:tr>
      <w:tr>
        <w:trPr>
          <w:cantSplit/>
          <w:trHeight w:hRule="atLeast" w:val="351"/>
        </w:trPr>
        <w:tc>
          <w:tcPr>
            <w:tcW w:type="dxa" w:w="46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Restart/Checkpoint</w:t>
            </w:r>
          </w:p>
        </w:tc>
        <w:tc>
          <w:tcPr>
            <w:tcW w:type="dxa" w:w="35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재실행 검증</w:t>
            </w:r>
          </w:p>
        </w:tc>
        <w:tc>
          <w:tcPr>
            <w:tcW w:type="dxa" w:w="40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재실행 검증</w:t>
            </w:r>
          </w:p>
        </w:tc>
        <w:tc>
          <w:tcPr>
            <w:tcW w:type="dxa" w:w="35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FFFFF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재실행 검증</w:t>
            </w:r>
          </w:p>
        </w:tc>
      </w:tr>
      <w:tr>
        <w:trPr>
          <w:cantSplit/>
          <w:trHeight w:hRule="atLeast" w:val="351"/>
        </w:trPr>
        <w:tc>
          <w:tcPr>
            <w:tcW w:type="dxa" w:w="462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Rollback/Recovery</w:t>
            </w:r>
          </w:p>
        </w:tc>
        <w:tc>
          <w:tcPr>
            <w:tcW w:type="dxa" w:w="35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절차 검증</w:t>
            </w:r>
          </w:p>
        </w:tc>
        <w:tc>
          <w:tcPr>
            <w:tcW w:type="dxa" w:w="4073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절차 검증</w:t>
            </w:r>
          </w:p>
        </w:tc>
        <w:tc>
          <w:tcPr>
            <w:tcW w:type="dxa" w:w="3560"/>
            <w:tcMar>
              <w:top w:w="70" w:type="dxa"/>
              <w:start w:w="100" w:type="dxa"/>
              <w:bottom w:w="7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 w:before="0"/>
              <w:jc w:val="left"/>
            </w:pPr>
            <w:r>
              <w:rPr>
                <w:rFonts w:ascii="Noto Sans KR" w:hAnsi="Noto Sans KR" w:eastAsia="Noto Sans KR" w:cs="Noto Sans KR"/>
                <w:b w:val="0"/>
                <w:color w:val="243547"/>
                <w:sz w:val="18"/>
              </w:rPr>
              <w:t>절차 검증</w:t>
            </w:r>
          </w:p>
        </w:tc>
      </w:tr>
    </w:tbl>
    <w:p>
      <w:pPr>
        <w:pStyle w:val="CPFLabel"/>
      </w:pPr>
      <w:r>
        <w:t>DB3 검증 진입점</w:t>
      </w:r>
    </w:p>
    <w:p>
      <w:pPr>
        <w:pStyle w:val="CPFCode"/>
        <w:shd w:fill="17324D"/>
        <w:pBdr>
          <w:left w:val="single" w:sz="18" w:space="8" w:color="4F8DF7"/>
        </w:pBdr>
        <w:spacing w:before="100" w:after="140"/>
        <w:ind w:left="170" w:right="113"/>
      </w:pPr>
      <w:r>
        <w:rPr>
          <w:rFonts w:ascii="Consolas" w:hAnsi="Consolas"/>
          <w:color w:val="F4F8FC"/>
          <w:sz w:val="18"/>
        </w:rPr>
        <w:t>pwsh -NoProfile -File cpf-tools/db/verification/check-official-db-vendor-readiness.ps1</w:t>
        <w:br/>
      </w:r>
      <w:r>
        <w:rPr>
          <w:rFonts w:ascii="Consolas" w:hAnsi="Consolas"/>
          <w:color w:val="F4F8FC"/>
          <w:sz w:val="18"/>
        </w:rPr>
        <w:t>pwsh -NoProfile -File cpf-tools/db/verification/invoke-cpf-db-runtime-matrix.ps1 -Vendor all</w:t>
      </w:r>
    </w:p>
    <w:p>
      <w:pPr>
        <w:pStyle w:val="CPFCallout"/>
      </w:pPr>
      <w:r>
        <w:t>실행하지 않은 Vendor/Runtime 검증은 PASS로 기록하지 않습니다.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510" w:right="510" w:bottom="510" w:left="51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배치 운영 가이드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0" w:after="16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80"/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100" w:after="140" w:line="240" w:lineRule="auto"/>
      <w:ind w:left="283" w:right="170"/>
    </w:pPr>
    <w:rPr>
      <w:rFonts w:ascii="Noto Sans KR" w:hAnsi="Noto Sans KR" w:eastAsia="DejaVu Sans Mono"/>
      <w:b w:val="0"/>
      <w:color w:val="F4F8FC"/>
      <w:sz w:val="18"/>
    </w:rPr>
  </w:style>
  <w:style w:type="paragraph" w:customStyle="1" w:styleId="CPFCaption">
    <w:name w:val="CPF Caption"/>
    <w:pPr>
      <w:spacing w:before="60" w:after="160"/>
      <w:ind w:left="255" w:right="255"/>
    </w:pPr>
    <w:rPr>
      <w:rFonts w:ascii="Noto Sans KR" w:hAnsi="Noto Sans KR" w:eastAsia="Noto Sans KR"/>
      <w:color w:val="5E7186"/>
      <w:sz w:val="18"/>
    </w:rPr>
  </w:style>
  <w:style w:type="paragraph" w:customStyle="1" w:styleId="CPFLabel">
    <w:name w:val="CPF Label"/>
    <w:pPr>
      <w:keepNext/>
      <w:spacing w:before="200" w:after="80"/>
      <w:ind w:left="255"/>
    </w:pPr>
    <w:rPr>
      <w:rFonts w:ascii="Noto Sans KR" w:hAnsi="Noto Sans KR" w:eastAsia="Noto Sans KR"/>
      <w:b/>
      <w:color w:val="4F46E5"/>
      <w:sz w:val="20"/>
    </w:rPr>
  </w:style>
  <w:style w:type="paragraph" w:customStyle="1" w:styleId="CPFLead">
    <w:name w:val="CPF Lead"/>
    <w:basedOn w:val="Normal"/>
    <w:pPr>
      <w:spacing w:before="60" w:after="180" w:line="283" w:lineRule="auto"/>
    </w:pPr>
    <w:rPr>
      <w:rFonts w:ascii="Noto Sans KR" w:hAnsi="Noto Sans KR"/>
      <w:b w:val="0"/>
      <w:color w:val="243547"/>
      <w:sz w:val="20"/>
    </w:rPr>
  </w:style>
  <w:style w:type="paragraph" w:customStyle="1" w:styleId="CPFSectionLead">
    <w:name w:val="CPF Section Lead"/>
    <w:basedOn w:val="Normal"/>
    <w:pPr>
      <w:spacing w:before="40" w:after="160" w:line="276" w:lineRule="auto"/>
    </w:pPr>
    <w:rPr>
      <w:rFonts w:ascii="Noto Sans KR" w:hAnsi="Noto Sans KR"/>
      <w:b w:val="0"/>
      <w:color w:val="243547"/>
      <w:sz w:val="19"/>
    </w:rPr>
  </w:style>
  <w:style w:type="paragraph" w:customStyle="1" w:styleId="CPFCallout">
    <w:name w:val="CPF Callout"/>
    <w:basedOn w:val="Normal"/>
    <w:pPr>
      <w:spacing w:before="80" w:after="140" w:line="269" w:lineRule="auto"/>
    </w:pPr>
    <w:rPr>
      <w:rFonts w:ascii="Noto Sans KR" w:hAnsi="Noto Sans KR"/>
      <w:b w:val="0"/>
      <w:color w:val="243547"/>
      <w:sz w:val="19"/>
    </w:rPr>
  </w:style>
  <w:style w:type="paragraph" w:customStyle="1" w:styleId="CPFWarning">
    <w:name w:val="CPF Warning"/>
    <w:basedOn w:val="Normal"/>
    <w:pPr>
      <w:spacing w:before="80" w:after="140" w:line="269" w:lineRule="auto"/>
    </w:pPr>
    <w:rPr>
      <w:rFonts w:ascii="Noto Sans KR" w:hAnsi="Noto Sans KR"/>
      <w:b w:val="0"/>
      <w:color w:val="A85600"/>
      <w:sz w:val="19"/>
    </w:rPr>
  </w:style>
  <w:style w:type="paragraph" w:customStyle="1" w:styleId="CPFSource">
    <w:name w:val="CPF Source"/>
    <w:basedOn w:val="Normal"/>
    <w:pPr>
      <w:spacing w:before="60" w:after="120" w:line="252" w:lineRule="auto"/>
    </w:pPr>
    <w:rPr>
      <w:rFonts w:ascii="Noto Sans KR" w:hAnsi="Noto Sans KR"/>
      <w:b w:val="0"/>
      <w:color w:val="5E7186"/>
      <w:sz w:val="18"/>
    </w:rPr>
  </w:style>
  <w:style w:type="paragraph" w:customStyle="1" w:styleId="CPFTOCEntry">
    <w:name w:val="CPF TOC Entry"/>
    <w:basedOn w:val="Normal"/>
    <w:pPr>
      <w:spacing w:before="0" w:after="50" w:line="252" w:lineRule="auto"/>
      <w:ind w:left="113"/>
    </w:pPr>
    <w:rPr>
      <w:rFonts w:ascii="Noto Sans KR" w:hAnsi="Noto Sans KR"/>
      <w:b w:val="0"/>
      <w:color w:val="24354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