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60"/>
      </w:pPr>
      <w:r>
        <w:rPr>
          <w:rFonts w:ascii="Noto Sans KR" w:hAnsi="Noto Sans KR" w:eastAsia="Noto Sans KR" w:cs="Noto Sans KR"/>
          <w:b/>
          <w:color w:val="0F9D7A"/>
          <w:sz w:val="16"/>
        </w:rPr>
        <w:t>CORE PLATFORM FRAMEWORK</w:t>
      </w:r>
    </w:p>
    <w:p>
      <w:pPr>
        <w:pStyle w:val="Title"/>
      </w:pPr>
      <w:r>
        <w:rPr>
          <w:rFonts w:ascii="Noto Sans KR" w:hAnsi="Noto Sans KR" w:eastAsia="Noto Sans KR" w:cs="Noto Sans KR"/>
        </w:rPr>
        <w:t>Gateway 개발·사용 가이드</w:t>
      </w:r>
    </w:p>
    <w:p>
      <w:pPr>
        <w:pStyle w:val="Subtitle"/>
      </w:pPr>
      <w:r>
        <w:rPr>
          <w:rFonts w:ascii="Noto Sans KR" w:hAnsi="Noto Sans KR" w:eastAsia="Noto Sans KR" w:cs="Noto Sans KR"/>
        </w:rPr>
        <w:t>Gateway가 필요한 경계와 내부 Domain 호출 경계를 혼동하지 않는 실무 가이드</w:t>
      </w:r>
    </w:p>
    <w:p>
      <w:pPr>
        <w:pStyle w:val="CPFLead"/>
        <w:shd w:fill="EEF5FB"/>
        <w:pBdr>
          <w:left w:val="single" w:sz="20" w:space="8" w:color="0F9D7A"/>
        </w:pBdr>
        <w:spacing w:before="80" w:after="180"/>
        <w:ind w:left="170" w:right="113"/>
      </w:pPr>
      <w:r>
        <w:t>Gateway/BFF/Domain 개발자를 위한 실무 가이드입니다. 외부 Entry 정책을 적용하면서 내부 Domain 호출 경계를 왜곡하지 않도록 구현합니다.</w:t>
      </w:r>
    </w:p>
    <w:p>
      <w:pPr>
        <w:pStyle w:val="ListBullet"/>
        <w:spacing w:after="64" w:line="269" w:lineRule="auto"/>
        <w:ind w:left="283"/>
      </w:pPr>
      <w:r>
        <w:rPr>
          <w:rFonts w:ascii="Noto Sans KR" w:hAnsi="Noto Sans KR" w:eastAsia="Noto Sans KR" w:cs="Noto Sans KR"/>
          <w:color w:val="243547"/>
          <w:sz w:val="20"/>
        </w:rPr>
        <w:t>Gateway는 외부 Entry/Edge 정책이 필요할 때 선택합니다.</w:t>
      </w:r>
    </w:p>
    <w:p>
      <w:pPr>
        <w:pStyle w:val="ListBullet"/>
        <w:spacing w:after="64" w:line="269" w:lineRule="auto"/>
        <w:ind w:left="283"/>
      </w:pPr>
      <w:r>
        <w:rPr>
          <w:rFonts w:ascii="Noto Sans KR" w:hAnsi="Noto Sans KR" w:eastAsia="Noto Sans KR" w:cs="Noto Sans KR"/>
          <w:color w:val="243547"/>
          <w:sz w:val="20"/>
        </w:rPr>
        <w:t>내부 Domain 호출은 Gateway를 경유하지 않습니다.</w:t>
      </w:r>
    </w:p>
    <w:p>
      <w:pPr>
        <w:pStyle w:val="ListBullet"/>
        <w:spacing w:after="64" w:line="269" w:lineRule="auto"/>
        <w:ind w:left="283"/>
      </w:pPr>
      <w:r>
        <w:rPr>
          <w:rFonts w:ascii="Noto Sans KR" w:hAnsi="Noto Sans KR" w:eastAsia="Noto Sans KR" w:cs="Noto Sans KR"/>
          <w:color w:val="243547"/>
          <w:sz w:val="20"/>
        </w:rPr>
        <w:t>System6/operationId/상태 코드를 기준으로 장애를 추적합니다.</w:t>
      </w:r>
    </w:p>
    <w:p>
      <w:r>
        <w:br w:type="page"/>
      </w:r>
    </w:p>
    <w:p>
      <w:pPr>
        <w:pStyle w:val="Heading1"/>
        <w:keepNext/>
      </w:pPr>
      <w:r>
        <w:rPr>
          <w:rFonts w:ascii="Noto Sans KR" w:hAnsi="Noto Sans KR" w:eastAsia="Noto Sans KR" w:cs="Noto Sans KR"/>
        </w:rPr>
        <w:t>찾아보기</w:t>
      </w:r>
    </w:p>
    <w:p>
      <w:pPr>
        <w:spacing w:after="100"/>
      </w:pPr>
      <w:r>
        <w:t>필요한 작업을 먼저 찾고 해당 장으로 이동합니다. 페이지 번호는 최종 PDF 기준입니다.</w:t>
      </w:r>
    </w:p>
    <w:p>
      <w:pPr>
        <w:pStyle w:val="CPFTOCEntry"/>
        <w:tabs>
          <w:tab w:pos="15357" w:val="right" w:leader="dot"/>
        </w:tabs>
        <w:spacing w:after="56"/>
        <w:ind w:left="259"/>
      </w:pPr>
      <w:r>
        <w:rPr>
          <w:rFonts w:ascii="Noto Sans KR" w:hAnsi="Noto Sans KR"/>
          <w:color w:val="243547"/>
          <w:sz w:val="20"/>
        </w:rPr>
        <w:t>1 Gateway가 필요한지 먼저 판단</w:t>
      </w:r>
      <w:r>
        <w:tab/>
      </w:r>
      <w:r>
        <w:rPr>
          <w:rFonts w:ascii="Noto Sans KR" w:hAnsi="Noto Sans KR"/>
          <w:b/>
          <w:color w:val="17324D"/>
          <w:sz w:val="20"/>
        </w:rPr>
        <w:t>2</w:t>
      </w:r>
    </w:p>
    <w:p>
      <w:pPr>
        <w:pStyle w:val="CPFTOCEntry"/>
        <w:tabs>
          <w:tab w:pos="15357" w:val="right" w:leader="dot"/>
        </w:tabs>
        <w:spacing w:after="56"/>
        <w:ind w:left="259"/>
      </w:pPr>
      <w:r>
        <w:rPr>
          <w:rFonts w:ascii="Noto Sans KR" w:hAnsi="Noto Sans KR"/>
          <w:color w:val="243547"/>
          <w:sz w:val="20"/>
        </w:rPr>
        <w:t>2 Route와 Operation</w:t>
      </w:r>
      <w:r>
        <w:tab/>
      </w:r>
      <w:r>
        <w:rPr>
          <w:rFonts w:ascii="Noto Sans KR" w:hAnsi="Noto Sans KR"/>
          <w:b/>
          <w:color w:val="17324D"/>
          <w:sz w:val="20"/>
        </w:rPr>
        <w:t>2</w:t>
      </w:r>
    </w:p>
    <w:p>
      <w:pPr>
        <w:pStyle w:val="CPFTOCEntry"/>
        <w:tabs>
          <w:tab w:pos="15357" w:val="right" w:leader="dot"/>
        </w:tabs>
        <w:spacing w:after="56"/>
        <w:ind w:left="259"/>
      </w:pPr>
      <w:r>
        <w:rPr>
          <w:rFonts w:ascii="Noto Sans KR" w:hAnsi="Noto Sans KR"/>
          <w:color w:val="243547"/>
          <w:sz w:val="20"/>
        </w:rPr>
        <w:t>3 Edge Security</w:t>
      </w:r>
      <w:r>
        <w:tab/>
      </w:r>
      <w:r>
        <w:rPr>
          <w:rFonts w:ascii="Noto Sans KR" w:hAnsi="Noto Sans KR"/>
          <w:b/>
          <w:color w:val="17324D"/>
          <w:sz w:val="20"/>
        </w:rPr>
        <w:t>3</w:t>
      </w:r>
    </w:p>
    <w:p>
      <w:pPr>
        <w:pStyle w:val="CPFTOCEntry"/>
        <w:tabs>
          <w:tab w:pos="15357" w:val="right" w:leader="dot"/>
        </w:tabs>
        <w:spacing w:after="56"/>
        <w:ind w:left="259"/>
      </w:pPr>
      <w:r>
        <w:rPr>
          <w:rFonts w:ascii="Noto Sans KR" w:hAnsi="Noto Sans KR"/>
          <w:color w:val="243547"/>
          <w:sz w:val="20"/>
        </w:rPr>
        <w:t>4 관측과 장애 복구</w:t>
      </w:r>
      <w:r>
        <w:tab/>
      </w:r>
      <w:r>
        <w:rPr>
          <w:rFonts w:ascii="Noto Sans KR" w:hAnsi="Noto Sans KR"/>
          <w:b/>
          <w:color w:val="17324D"/>
          <w:sz w:val="20"/>
        </w:rPr>
        <w:t>4</w:t>
      </w:r>
    </w:p>
    <w:p>
      <w:pPr>
        <w:pStyle w:val="Heading1"/>
        <w:keepNext/>
      </w:pPr>
      <w:r>
        <w:rPr>
          <w:rFonts w:ascii="Noto Sans KR" w:hAnsi="Noto Sans KR" w:eastAsia="Noto Sans KR" w:cs="Noto Sans KR"/>
        </w:rPr>
        <w:t>1 Gateway가 필요한지 먼저 판단</w:t>
      </w:r>
    </w:p>
    <w:p>
      <w:pPr>
        <w:spacing w:before="80" w:after="200"/>
        <w:ind w:left="170" w:right="113"/>
        <w:shd w:fill="F3F7FA"/>
        <w:pStyle w:val="CPFSectionLead"/>
        <w:pBdr>
          <w:left w:val="single" w:sz="16" w:space="7" w:color="8AA4BE"/>
        </w:pBdr>
      </w:pPr>
      <w:r>
        <w:rPr>
          <w:rFonts w:ascii="Noto Sans KR" w:hAnsi="Noto Sans KR" w:eastAsia="Noto Sans KR" w:cs="Noto Sans KR"/>
        </w:rPr>
        <w:t>모든 내부 호출을 Gateway에 넣지 않고 외부 Entry/Edge 정책이 필요한 경우에만 선택합니다.</w:t>
      </w:r>
    </w:p>
    <w:p>
      <w:pPr>
        <w:pStyle w:val="CPFLabel"/>
      </w:pPr>
      <w:r>
        <w:rPr>
          <w:rFonts w:ascii="Noto Sans KR" w:hAnsi="Noto Sans KR" w:eastAsia="Noto Sans KR" w:cs="Noto Sans KR"/>
        </w:rPr>
        <w:t>경로 선택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  <w:gridCol w:w="5083"/>
      </w:tblGrid>
      <w:tr>
        <w:trPr>
          <w:trHeight w:hRule="atLeast" w:val="397"/>
          <w:tblHeader w:val="true"/>
        </w:trPr>
        <w:tc>
          <w:tcPr>
            <w:tcW w:type="dxa" w:w="4308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상황</w:t>
            </w:r>
          </w:p>
        </w:tc>
        <w:tc>
          <w:tcPr>
            <w:tcW w:type="dxa" w:w="6875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권장 경로</w:t>
            </w:r>
          </w:p>
        </w:tc>
        <w:tc>
          <w:tcPr>
            <w:tcW w:type="dxa" w:w="4634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Gateway</w:t>
            </w:r>
          </w:p>
        </w:tc>
      </w:tr>
      <w:tr>
        <w:trPr>
          <w:cantSplit/>
          <w:trHeight w:hRule="atLeast" w:val="351"/>
        </w:trPr>
        <w:tc>
          <w:tcPr>
            <w:tcW w:type="dxa" w:w="430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Same JVM Domain</w:t>
            </w:r>
          </w:p>
        </w:tc>
        <w:tc>
          <w:tcPr>
            <w:tcW w:type="dxa" w:w="687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Caller → in-process binding → Owner Domain</w:t>
            </w:r>
          </w:p>
        </w:tc>
        <w:tc>
          <w:tcPr>
            <w:tcW w:type="dxa" w:w="463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사용하지 않음</w:t>
            </w:r>
          </w:p>
        </w:tc>
      </w:tr>
      <w:tr>
        <w:trPr>
          <w:cantSplit/>
          <w:trHeight w:hRule="atLeast" w:val="351"/>
        </w:trPr>
        <w:tc>
          <w:tcPr>
            <w:tcW w:type="dxa" w:w="430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분리 WAS/MSA 내부 Domain</w:t>
            </w:r>
          </w:p>
        </w:tc>
        <w:tc>
          <w:tcPr>
            <w:tcW w:type="dxa" w:w="687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Remote Adapter/Registry → Owner Domain</w:t>
            </w:r>
          </w:p>
        </w:tc>
        <w:tc>
          <w:tcPr>
            <w:tcW w:type="dxa" w:w="463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내부 호출 경유하지 않음</w:t>
            </w:r>
          </w:p>
        </w:tc>
      </w:tr>
      <w:tr>
        <w:trPr>
          <w:cantSplit/>
          <w:trHeight w:hRule="atLeast" w:val="351"/>
        </w:trPr>
        <w:tc>
          <w:tcPr>
            <w:tcW w:type="dxa" w:w="430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외부 Partner/Channel</w:t>
            </w:r>
          </w:p>
        </w:tc>
        <w:tc>
          <w:tcPr>
            <w:tcW w:type="dxa" w:w="687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External → Gateway → Target</w:t>
            </w:r>
          </w:p>
        </w:tc>
        <w:tc>
          <w:tcPr>
            <w:tcW w:type="dxa" w:w="463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선택/권장</w:t>
            </w:r>
          </w:p>
        </w:tc>
      </w:tr>
      <w:tr>
        <w:trPr>
          <w:cantSplit/>
          <w:trHeight w:hRule="atLeast" w:val="351"/>
        </w:trPr>
        <w:tc>
          <w:tcPr>
            <w:tcW w:type="dxa" w:w="430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관리 UI/BFF</w:t>
            </w:r>
          </w:p>
        </w:tc>
        <w:tc>
          <w:tcPr>
            <w:tcW w:type="dxa" w:w="687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Channel/BFF → 내부 Owner 계약</w:t>
            </w:r>
          </w:p>
        </w:tc>
        <w:tc>
          <w:tcPr>
            <w:tcW w:type="dxa" w:w="4634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Topology에 따라 Edge 사용</w:t>
            </w:r>
          </w:p>
        </w:tc>
      </w:tr>
    </w:tbl>
    <w:p>
      <w:pPr>
        <w:pStyle w:val="CPFCaption"/>
        <w:jc w:val="left"/>
      </w:pPr>
      <w:r>
        <w:rPr>
          <w:rFonts w:ascii="Noto Sans KR" w:hAnsi="Noto Sans KR" w:eastAsia="Noto Sans KR" w:cs="Noto Sans KR"/>
        </w:rPr>
        <w:t>Gateway는 외부 Entry와 Edge 정책을 담당하는 선택 경계입니다. Domain A에서 Domain B로 가는 내부 호출을 Gateway로 우회시키지 않습니다.</w:t>
      </w:r>
    </w:p>
    <w:p>
      <w:pPr>
        <w:pStyle w:val="Heading1"/>
        <w:keepNext/>
      </w:pPr>
      <w:r>
        <w:rPr>
          <w:rFonts w:ascii="Noto Sans KR" w:hAnsi="Noto Sans KR" w:eastAsia="Noto Sans KR" w:cs="Noto Sans KR"/>
        </w:rPr>
        <w:t>2 Route와 Operation</w:t>
      </w:r>
    </w:p>
    <w:p>
      <w:pPr>
        <w:spacing w:before="80" w:after="200"/>
        <w:ind w:left="170" w:right="113"/>
        <w:shd w:fill="F3F7FA"/>
        <w:pStyle w:val="CPFSectionLead"/>
        <w:pBdr>
          <w:left w:val="single" w:sz="16" w:space="7" w:color="8AA4BE"/>
        </w:pBdr>
      </w:pPr>
      <w:r>
        <w:rPr>
          <w:rFonts w:ascii="Noto Sans KR" w:hAnsi="Noto Sans KR" w:eastAsia="Noto Sans KR" w:cs="Noto Sans KR"/>
        </w:rPr>
        <w:t>Route는 endpoint를 고르고 업무 코드는 Domain/Operation 계약을 호출합니다.</w:t>
      </w:r>
    </w:p>
    <w:p>
      <w:pPr>
        <w:pStyle w:val="CPFLabel"/>
      </w:pPr>
      <w:r>
        <w:rPr>
          <w:rFonts w:ascii="Noto Sans KR" w:hAnsi="Noto Sans KR" w:eastAsia="Noto Sans KR" w:cs="Noto Sans KR"/>
        </w:rPr>
        <w:t>식별자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  <w:gridCol w:w="5083"/>
      </w:tblGrid>
      <w:tr>
        <w:trPr>
          <w:trHeight w:hRule="atLeast" w:val="397"/>
          <w:tblHeader w:val="true"/>
        </w:trPr>
        <w:tc>
          <w:tcPr>
            <w:tcW w:type="dxa" w:w="3638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값</w:t>
            </w:r>
          </w:p>
        </w:tc>
        <w:tc>
          <w:tcPr>
            <w:tcW w:type="dxa" w:w="6416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Owner</w:t>
            </w:r>
          </w:p>
        </w:tc>
        <w:tc>
          <w:tcPr>
            <w:tcW w:type="dxa" w:w="5763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검증</w:t>
            </w:r>
          </w:p>
        </w:tc>
      </w:tr>
      <w:tr>
        <w:trPr>
          <w:cantSplit/>
          <w:trHeight w:hRule="atLeast" w:val="351"/>
        </w:trPr>
        <w:tc>
          <w:tcPr>
            <w:tcW w:type="dxa" w:w="363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systemCode</w:t>
            </w:r>
          </w:p>
        </w:tc>
        <w:tc>
          <w:tcPr>
            <w:tcW w:type="dxa" w:w="641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시스템 정본</w:t>
            </w:r>
          </w:p>
        </w:tc>
        <w:tc>
          <w:tcPr>
            <w:tcW w:type="dxa" w:w="576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Target SystemCode 일치</w:t>
            </w:r>
          </w:p>
        </w:tc>
      </w:tr>
      <w:tr>
        <w:trPr>
          <w:cantSplit/>
          <w:trHeight w:hRule="atLeast" w:val="351"/>
        </w:trPr>
        <w:tc>
          <w:tcPr>
            <w:tcW w:type="dxa" w:w="363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operationId</w:t>
            </w:r>
          </w:p>
        </w:tc>
        <w:tc>
          <w:tcPr>
            <w:tcW w:type="dxa" w:w="641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Annotation/OpenAPI/Client/Registry/ADM/Log 공통</w:t>
            </w:r>
          </w:p>
        </w:tc>
        <w:tc>
          <w:tcPr>
            <w:tcW w:type="dxa" w:w="576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stable id</w:t>
            </w:r>
          </w:p>
        </w:tc>
      </w:tr>
      <w:tr>
        <w:trPr>
          <w:cantSplit/>
          <w:trHeight w:hRule="atLeast" w:val="351"/>
        </w:trPr>
        <w:tc>
          <w:tcPr>
            <w:tcW w:type="dxa" w:w="363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transactionId</w:t>
            </w:r>
          </w:p>
        </w:tc>
        <w:tc>
          <w:tcPr>
            <w:tcW w:type="dxa" w:w="641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거래 Context</w:t>
            </w:r>
          </w:p>
        </w:tc>
        <w:tc>
          <w:tcPr>
            <w:tcW w:type="dxa" w:w="576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hop 간 유지</w:t>
            </w:r>
          </w:p>
        </w:tc>
      </w:tr>
      <w:tr>
        <w:trPr>
          <w:cantSplit/>
          <w:trHeight w:hRule="atLeast" w:val="351"/>
        </w:trPr>
        <w:tc>
          <w:tcPr>
            <w:tcW w:type="dxa" w:w="363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instanceId</w:t>
            </w:r>
          </w:p>
        </w:tc>
        <w:tc>
          <w:tcPr>
            <w:tcW w:type="dxa" w:w="641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현재 Runtime instance</w:t>
            </w:r>
          </w:p>
        </w:tc>
        <w:tc>
          <w:tcPr>
            <w:tcW w:type="dxa" w:w="576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header에 넣지 않음</w:t>
            </w:r>
          </w:p>
        </w:tc>
      </w:tr>
    </w:tbl>
    <w:p>
      <w:pPr>
        <w:pStyle w:val="Heading1"/>
        <w:keepNext/>
      </w:pPr>
      <w:r>
        <w:rPr>
          <w:rFonts w:ascii="Noto Sans KR" w:hAnsi="Noto Sans KR" w:eastAsia="Noto Sans KR" w:cs="Noto Sans KR"/>
        </w:rPr>
        <w:t>3 Edge Security</w:t>
      </w:r>
    </w:p>
    <w:p>
      <w:pPr>
        <w:spacing w:before="80" w:after="200"/>
        <w:ind w:left="170" w:right="113"/>
        <w:shd w:fill="F3F7FA"/>
        <w:pStyle w:val="CPFSectionLead"/>
        <w:pBdr>
          <w:left w:val="single" w:sz="16" w:space="7" w:color="8AA4BE"/>
        </w:pBdr>
      </w:pPr>
      <w:r>
        <w:rPr>
          <w:rFonts w:ascii="Noto Sans KR" w:hAnsi="Noto Sans KR" w:eastAsia="Noto Sans KR" w:cs="Noto Sans KR"/>
        </w:rPr>
        <w:t>인증·인가·Rate Limit·Header 검증을 Edge에서 수행하되 업무 Owner 권한을 우회하지 않습니다.</w:t>
      </w:r>
    </w:p>
    <w:p>
      <w:pPr>
        <w:pStyle w:val="CPFLabel"/>
      </w:pPr>
      <w:r>
        <w:rPr>
          <w:rFonts w:ascii="Noto Sans KR" w:hAnsi="Noto Sans KR" w:eastAsia="Noto Sans KR" w:cs="Noto Sans KR"/>
        </w:rPr>
        <w:t>상태 코드 처리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  <w:gridCol w:w="5083"/>
      </w:tblGrid>
      <w:tr>
        <w:trPr>
          <w:trHeight w:hRule="atLeast" w:val="397"/>
          <w:tblHeader w:val="true"/>
        </w:trPr>
        <w:tc>
          <w:tcPr>
            <w:tcW w:type="dxa" w:w="2869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상태</w:t>
            </w:r>
          </w:p>
        </w:tc>
        <w:tc>
          <w:tcPr>
            <w:tcW w:type="dxa" w:w="6725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Gateway 판단</w:t>
            </w:r>
          </w:p>
        </w:tc>
        <w:tc>
          <w:tcPr>
            <w:tcW w:type="dxa" w:w="6223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Caller 행동</w:t>
            </w:r>
          </w:p>
        </w:tc>
      </w:tr>
      <w:tr>
        <w:trPr>
          <w:cantSplit/>
          <w:trHeight w:hRule="atLeast" w:val="351"/>
        </w:trPr>
        <w:tc>
          <w:tcPr>
            <w:tcW w:type="dxa" w:w="286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401</w:t>
            </w:r>
          </w:p>
        </w:tc>
        <w:tc>
          <w:tcPr>
            <w:tcW w:type="dxa" w:w="672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인증정보 없음/무효</w:t>
            </w:r>
          </w:p>
        </w:tc>
        <w:tc>
          <w:tcPr>
            <w:tcW w:type="dxa" w:w="622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재인증</w:t>
            </w:r>
          </w:p>
        </w:tc>
      </w:tr>
      <w:tr>
        <w:trPr>
          <w:cantSplit/>
          <w:trHeight w:hRule="atLeast" w:val="351"/>
        </w:trPr>
        <w:tc>
          <w:tcPr>
            <w:tcW w:type="dxa" w:w="286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403</w:t>
            </w:r>
          </w:p>
        </w:tc>
        <w:tc>
          <w:tcPr>
            <w:tcW w:type="dxa" w:w="672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권한 부족</w:t>
            </w:r>
          </w:p>
        </w:tc>
        <w:tc>
          <w:tcPr>
            <w:tcW w:type="dxa" w:w="622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권한/승인 확인</w:t>
            </w:r>
          </w:p>
        </w:tc>
      </w:tr>
      <w:tr>
        <w:trPr>
          <w:cantSplit/>
          <w:trHeight w:hRule="atLeast" w:val="351"/>
        </w:trPr>
        <w:tc>
          <w:tcPr>
            <w:tcW w:type="dxa" w:w="286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404</w:t>
            </w:r>
          </w:p>
        </w:tc>
        <w:tc>
          <w:tcPr>
            <w:tcW w:type="dxa" w:w="672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route/operation 없음</w:t>
            </w:r>
          </w:p>
        </w:tc>
        <w:tc>
          <w:tcPr>
            <w:tcW w:type="dxa" w:w="622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registry/version 확인</w:t>
            </w:r>
          </w:p>
        </w:tc>
      </w:tr>
      <w:tr>
        <w:trPr>
          <w:cantSplit/>
          <w:trHeight w:hRule="atLeast" w:val="351"/>
        </w:trPr>
        <w:tc>
          <w:tcPr>
            <w:tcW w:type="dxa" w:w="286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409</w:t>
            </w:r>
          </w:p>
        </w:tc>
        <w:tc>
          <w:tcPr>
            <w:tcW w:type="dxa" w:w="672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중복/충돌</w:t>
            </w:r>
          </w:p>
        </w:tc>
        <w:tc>
          <w:tcPr>
            <w:tcW w:type="dxa" w:w="622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idempotency/state 확인</w:t>
            </w:r>
          </w:p>
        </w:tc>
      </w:tr>
      <w:tr>
        <w:trPr>
          <w:cantSplit/>
          <w:trHeight w:hRule="atLeast" w:val="351"/>
        </w:trPr>
        <w:tc>
          <w:tcPr>
            <w:tcW w:type="dxa" w:w="286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429</w:t>
            </w:r>
          </w:p>
        </w:tc>
        <w:tc>
          <w:tcPr>
            <w:tcW w:type="dxa" w:w="672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rate limit</w:t>
            </w:r>
          </w:p>
        </w:tc>
        <w:tc>
          <w:tcPr>
            <w:tcW w:type="dxa" w:w="622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Retry-After/backoff</w:t>
            </w:r>
          </w:p>
        </w:tc>
      </w:tr>
      <w:tr>
        <w:trPr>
          <w:cantSplit/>
          <w:trHeight w:hRule="atLeast" w:val="351"/>
        </w:trPr>
        <w:tc>
          <w:tcPr>
            <w:tcW w:type="dxa" w:w="286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500</w:t>
            </w:r>
          </w:p>
        </w:tc>
        <w:tc>
          <w:tcPr>
            <w:tcW w:type="dxa" w:w="672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내부 기술오류</w:t>
            </w:r>
          </w:p>
        </w:tc>
        <w:tc>
          <w:tcPr>
            <w:tcW w:type="dxa" w:w="622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trace 확인</w:t>
            </w:r>
          </w:p>
        </w:tc>
      </w:tr>
      <w:tr>
        <w:trPr>
          <w:cantSplit/>
          <w:trHeight w:hRule="atLeast" w:val="351"/>
        </w:trPr>
        <w:tc>
          <w:tcPr>
            <w:tcW w:type="dxa" w:w="286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503</w:t>
            </w:r>
          </w:p>
        </w:tc>
        <w:tc>
          <w:tcPr>
            <w:tcW w:type="dxa" w:w="672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대상 unavailable</w:t>
            </w:r>
          </w:p>
        </w:tc>
        <w:tc>
          <w:tcPr>
            <w:tcW w:type="dxa" w:w="622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health/route/retry-safe 확인</w:t>
            </w:r>
          </w:p>
        </w:tc>
      </w:tr>
    </w:tbl>
    <w:p>
      <w:pPr>
        <w:pStyle w:val="Heading1"/>
        <w:keepNext/>
        <w:pageBreakBefore/>
      </w:pPr>
      <w:r>
        <w:rPr>
          <w:rFonts w:ascii="Noto Sans KR" w:hAnsi="Noto Sans KR" w:eastAsia="Noto Sans KR" w:cs="Noto Sans KR"/>
        </w:rPr>
        <w:t>4 관측과 장애 복구</w:t>
      </w:r>
    </w:p>
    <w:p>
      <w:pPr>
        <w:spacing w:before="80" w:after="200"/>
        <w:ind w:left="170" w:right="113"/>
        <w:shd w:fill="F3F7FA"/>
        <w:pStyle w:val="CPFSectionLead"/>
        <w:pBdr>
          <w:left w:val="single" w:sz="16" w:space="7" w:color="8AA4BE"/>
        </w:pBdr>
      </w:pPr>
      <w:r>
        <w:rPr>
          <w:rFonts w:ascii="Noto Sans KR" w:hAnsi="Noto Sans KR" w:eastAsia="Noto Sans KR" w:cs="Noto Sans KR"/>
        </w:rPr>
        <w:t>Gateway trace만 보고 전체 거래 성공을 판단하지 않고 Owner Domain과 downstream 결과까지 연결합니다.</w:t>
      </w:r>
    </w:p>
    <w:p>
      <w:pPr>
        <w:pStyle w:val="ListBullet"/>
        <w:spacing w:after="64" w:line="269" w:lineRule="auto"/>
        <w:ind w:left="454" w:hanging="198"/>
      </w:pPr>
      <w:r>
        <w:rPr>
          <w:rFonts w:ascii="Noto Sans KR" w:hAnsi="Noto Sans KR" w:eastAsia="Noto Sans KR" w:cs="Noto Sans KR"/>
          <w:color w:val="243547"/>
          <w:sz w:val="20"/>
        </w:rPr>
        <w:t>System6와 operationId를 통해 hop을 연결합니다.</w:t>
      </w:r>
    </w:p>
    <w:p>
      <w:pPr>
        <w:pStyle w:val="ListBullet"/>
        <w:spacing w:after="64" w:line="269" w:lineRule="auto"/>
        <w:ind w:left="454" w:hanging="198"/>
      </w:pPr>
      <w:r>
        <w:rPr>
          <w:rFonts w:ascii="Noto Sans KR" w:hAnsi="Noto Sans KR" w:eastAsia="Noto Sans KR" w:cs="Noto Sans KR"/>
          <w:color w:val="243547"/>
          <w:sz w:val="20"/>
        </w:rPr>
        <w:t>Side-effecting timeout은 UNKNOWN 가능성을 유지합니다.</w:t>
      </w:r>
    </w:p>
    <w:p>
      <w:pPr>
        <w:pStyle w:val="ListBullet"/>
        <w:spacing w:after="64" w:line="269" w:lineRule="auto"/>
        <w:ind w:left="454" w:hanging="198"/>
      </w:pPr>
      <w:r>
        <w:rPr>
          <w:rFonts w:ascii="Noto Sans KR" w:hAnsi="Noto Sans KR" w:eastAsia="Noto Sans KR" w:cs="Noto Sans KR"/>
          <w:color w:val="243547"/>
          <w:sz w:val="20"/>
        </w:rPr>
        <w:t>Retry는 대상 Operation의 idempotency/side-effect 정책을 확인한 뒤 적용합니다.</w:t>
      </w:r>
    </w:p>
    <w:p>
      <w:pPr>
        <w:pStyle w:val="ListBullet"/>
        <w:spacing w:after="64" w:line="269" w:lineRule="auto"/>
        <w:ind w:left="454" w:hanging="198"/>
      </w:pPr>
      <w:r>
        <w:rPr>
          <w:rFonts w:ascii="Noto Sans KR" w:hAnsi="Noto Sans KR" w:eastAsia="Noto Sans KR" w:cs="Noto Sans KR"/>
          <w:color w:val="243547"/>
          <w:sz w:val="20"/>
        </w:rPr>
        <w:t>Gateway가 unavailable이어도 내부 Same-JVM/Remote Domain 계약 자체를 왜곡하지 않습니다.</w:t>
      </w:r>
    </w:p>
    <w:p>
      <w:pPr>
        <w:pStyle w:val="Heading2"/>
      </w:pPr>
      <w:r>
        <w:rPr>
          <w:rFonts w:ascii="Noto Sans KR" w:hAnsi="Noto Sans KR" w:eastAsia="Noto Sans KR" w:cs="Noto Sans KR"/>
        </w:rPr>
        <w:t>복구 확인 체크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083"/>
        <w:gridCol w:w="5083"/>
        <w:gridCol w:w="5083"/>
      </w:tblGrid>
      <w:tr>
        <w:trPr>
          <w:trHeight w:hRule="atLeast" w:val="397"/>
          <w:tblHeader w:val="true"/>
        </w:trPr>
        <w:tc>
          <w:tcPr>
            <w:tcW w:type="dxa" w:w="3065"/>
            <w:vAlign w:val="center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 w:before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확인</w:t>
            </w:r>
          </w:p>
        </w:tc>
        <w:tc>
          <w:tcPr>
            <w:tcW w:type="dxa" w:w="7535"/>
            <w:vAlign w:val="center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 w:before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판단</w:t>
            </w:r>
          </w:p>
        </w:tc>
        <w:tc>
          <w:tcPr>
            <w:tcW w:type="dxa" w:w="5217"/>
            <w:vAlign w:val="center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 w:before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다음 조치</w:t>
            </w:r>
          </w:p>
        </w:tc>
      </w:tr>
      <w:tr>
        <w:trPr>
          <w:trHeight w:hRule="atLeast" w:val="351"/>
        </w:trPr>
        <w:tc>
          <w:tcPr>
            <w:tcW w:type="dxa" w:w="306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before="0" w:line="252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transactionId · operationId</w:t>
            </w:r>
          </w:p>
        </w:tc>
        <w:tc>
          <w:tcPr>
            <w:tcW w:type="dxa" w:w="753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before="0" w:line="252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요청 hop과 Owner Operation을 연결했는가</w:t>
            </w:r>
          </w:p>
        </w:tc>
        <w:tc>
          <w:tcPr>
            <w:tcW w:type="dxa" w:w="521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before="0" w:line="252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trace/owner 결과 대조</w:t>
            </w:r>
          </w:p>
        </w:tc>
      </w:tr>
      <w:tr>
        <w:trPr>
          <w:trHeight w:hRule="atLeast" w:val="351"/>
        </w:trPr>
        <w:tc>
          <w:tcPr>
            <w:tcW w:type="dxa" w:w="3065"/>
            <w:vAlign w:val="center"/>
            <w:shd w:fill="F7FAF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 w:before="0" w:line="252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instanceId</w:t>
            </w:r>
          </w:p>
        </w:tc>
        <w:tc>
          <w:tcPr>
            <w:tcW w:type="dxa" w:w="7535"/>
            <w:vAlign w:val="center"/>
            <w:shd w:fill="F7FAF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 w:before="0" w:line="252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실제 처리 Runtime을 특정했는가</w:t>
            </w:r>
          </w:p>
        </w:tc>
        <w:tc>
          <w:tcPr>
            <w:tcW w:type="dxa" w:w="5217"/>
            <w:vAlign w:val="center"/>
            <w:shd w:fill="F7FAF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 w:before="0" w:line="252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health/log 확인</w:t>
            </w:r>
          </w:p>
        </w:tc>
      </w:tr>
      <w:tr>
        <w:trPr>
          <w:trHeight w:hRule="atLeast" w:val="351"/>
        </w:trPr>
        <w:tc>
          <w:tcPr>
            <w:tcW w:type="dxa" w:w="306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before="0" w:line="252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Downstream 결과</w:t>
            </w:r>
          </w:p>
        </w:tc>
        <w:tc>
          <w:tcPr>
            <w:tcW w:type="dxa" w:w="753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before="0" w:line="252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Side Effect 결과가 확정됐는가</w:t>
            </w:r>
          </w:p>
        </w:tc>
        <w:tc>
          <w:tcPr>
            <w:tcW w:type="dxa" w:w="521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before="0" w:line="252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확정 전 blind retry 금지</w:t>
            </w:r>
          </w:p>
        </w:tc>
      </w:tr>
      <w:tr>
        <w:trPr>
          <w:trHeight w:hRule="atLeast" w:val="351"/>
        </w:trPr>
        <w:tc>
          <w:tcPr>
            <w:tcW w:type="dxa" w:w="3065"/>
            <w:vAlign w:val="center"/>
            <w:shd w:fill="F7FAF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 w:before="0" w:line="252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UNKNOWN</w:t>
            </w:r>
          </w:p>
        </w:tc>
        <w:tc>
          <w:tcPr>
            <w:tcW w:type="dxa" w:w="7535"/>
            <w:vAlign w:val="center"/>
            <w:shd w:fill="F7FAF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 w:before="0" w:line="252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recovery ledger/probe가 필요한가</w:t>
            </w:r>
          </w:p>
        </w:tc>
        <w:tc>
          <w:tcPr>
            <w:tcW w:type="dxa" w:w="5217"/>
            <w:vAlign w:val="center"/>
            <w:shd w:fill="F7FAF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 w:before="0" w:line="252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reconcile 후 최종 상태 확정</w:t>
            </w:r>
          </w:p>
        </w:tc>
      </w:tr>
      <w:tr>
        <w:trPr>
          <w:trHeight w:hRule="atLeast" w:val="351"/>
        </w:trPr>
        <w:tc>
          <w:tcPr>
            <w:tcW w:type="dxa" w:w="306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before="0" w:line="252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Retry safety</w:t>
            </w:r>
          </w:p>
        </w:tc>
        <w:tc>
          <w:tcPr>
            <w:tcW w:type="dxa" w:w="753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before="0" w:line="252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idempotency/side-effect 조건이 충족되는가</w:t>
            </w:r>
          </w:p>
        </w:tc>
        <w:tc>
          <w:tcPr>
            <w:tcW w:type="dxa" w:w="521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before="0" w:line="252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조건 충족 시에만 retry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6838" w:h="11906" w:orient="landscape"/>
      <w:pgMar w:top="510" w:right="510" w:bottom="510" w:left="510" w:header="255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KR" w:hAnsi="Noto Sans KR"/>
        <w:color w:val="5E7186"/>
        <w:sz w:val="15"/>
      </w:rPr>
      <w:t xml:space="preserve">Core Platform Framework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KR" w:hAnsi="Noto Sans KR"/>
        <w:color w:val="5E7186"/>
        <w:sz w:val="15"/>
      </w:rPr>
      <w:t>CPF  ·  Gateway 개발·사용 가이드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1" w:lineRule="auto"/>
    </w:pPr>
    <w:rPr>
      <w:rFonts w:ascii="Noto Sans KR" w:hAnsi="Noto Sans KR" w:eastAsia="Noto Sans KR"/>
      <w:color w:val="24354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0" w:after="160"/>
      <w:outlineLvl w:val="0"/>
    </w:pPr>
    <w:rPr>
      <w:rFonts w:asciiTheme="majorHAnsi" w:eastAsiaTheme="majorEastAsia" w:hAnsiTheme="majorHAnsi" w:cstheme="majorBidi" w:ascii="Noto Sans KR" w:hAnsi="Noto Sans KR" w:eastAsia="Noto Sans KR"/>
      <w:b/>
      <w:bCs/>
      <w:color w:val="17324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80"/>
      <w:ind w:left="113"/>
      <w:outlineLvl w:val="1"/>
    </w:pPr>
    <w:rPr>
      <w:rFonts w:asciiTheme="majorHAnsi" w:eastAsiaTheme="majorEastAsia" w:hAnsiTheme="majorHAnsi" w:cstheme="majorBidi" w:ascii="Noto Sans KR" w:hAnsi="Noto Sans KR" w:eastAsia="Noto Sans KR"/>
      <w:b/>
      <w:bCs/>
      <w:color w:val="4F46E5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60"/>
      <w:ind w:left="255"/>
      <w:outlineLvl w:val="2"/>
    </w:pPr>
    <w:rPr>
      <w:rFonts w:asciiTheme="majorHAnsi" w:eastAsiaTheme="majorEastAsia" w:hAnsiTheme="majorHAnsi" w:cstheme="majorBidi" w:ascii="Noto Sans KR" w:hAnsi="Noto Sans KR" w:eastAsia="Noto Sans KR"/>
      <w:b/>
      <w:bCs/>
      <w:color w:val="17324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pBdr>
        <w:bottom w:val="single" w:sz="8" w:space="4" w:color="4F81BD" w:themeColor="accent1"/>
      </w:pBdr>
      <w:spacing w:after="140" w:line="240" w:lineRule="auto" w:before="0"/>
      <w:contextualSpacing/>
    </w:pPr>
    <w:rPr>
      <w:rFonts w:asciiTheme="majorHAnsi" w:eastAsiaTheme="majorEastAsia" w:hAnsiTheme="majorHAnsi" w:cstheme="majorBidi" w:ascii="Noto Sans KR" w:hAnsi="Noto Sans KR" w:eastAsia="Noto Sans KR"/>
      <w:b/>
      <w:color w:val="071A2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keepLines/>
      <w:numPr>
        <w:ilvl w:val="1"/>
      </w:numPr>
      <w:spacing w:before="0" w:after="180"/>
    </w:pPr>
    <w:rPr>
      <w:rFonts w:asciiTheme="majorHAnsi" w:eastAsiaTheme="majorEastAsia" w:hAnsiTheme="majorHAnsi" w:cstheme="majorBidi" w:ascii="Noto Sans KR" w:hAnsi="Noto Sans KR" w:eastAsia="Noto Sans KR"/>
      <w:b w:val="0"/>
      <w:i/>
      <w:iCs/>
      <w:color w:val="5E7186"/>
      <w:spacing w:val="15"/>
      <w:sz w:val="23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PFCode">
    <w:name w:val="CPF Code"/>
    <w:pPr>
      <w:spacing w:before="100" w:after="140" w:line="240" w:lineRule="auto"/>
      <w:ind w:left="283" w:right="170"/>
    </w:pPr>
    <w:rPr>
      <w:rFonts w:ascii="Noto Sans KR" w:hAnsi="Noto Sans KR" w:eastAsia="DejaVu Sans Mono"/>
      <w:b w:val="0"/>
      <w:color w:val="F4F8FC"/>
      <w:sz w:val="18"/>
    </w:rPr>
  </w:style>
  <w:style w:type="paragraph" w:customStyle="1" w:styleId="CPFCaption">
    <w:name w:val="CPF Caption"/>
    <w:pPr>
      <w:spacing w:before="60" w:after="160"/>
      <w:ind w:left="255" w:right="255"/>
    </w:pPr>
    <w:rPr>
      <w:rFonts w:ascii="Noto Sans KR" w:hAnsi="Noto Sans KR" w:eastAsia="Noto Sans KR"/>
      <w:color w:val="5E7186"/>
      <w:sz w:val="18"/>
    </w:rPr>
  </w:style>
  <w:style w:type="paragraph" w:customStyle="1" w:styleId="CPFLabel">
    <w:name w:val="CPF Label"/>
    <w:pPr>
      <w:keepNext/>
      <w:spacing w:before="200" w:after="80"/>
      <w:ind w:left="255"/>
    </w:pPr>
    <w:rPr>
      <w:rFonts w:ascii="Noto Sans KR" w:hAnsi="Noto Sans KR" w:eastAsia="Noto Sans KR"/>
      <w:b/>
      <w:color w:val="4F46E5"/>
      <w:sz w:val="20"/>
    </w:rPr>
  </w:style>
  <w:style w:type="paragraph" w:customStyle="1" w:styleId="CPFLead">
    <w:name w:val="CPF Lead"/>
    <w:basedOn w:val="Normal"/>
    <w:pPr>
      <w:spacing w:before="60" w:after="180" w:line="283" w:lineRule="auto"/>
    </w:pPr>
    <w:rPr>
      <w:rFonts w:ascii="Noto Sans KR" w:hAnsi="Noto Sans KR"/>
      <w:b w:val="0"/>
      <w:color w:val="243547"/>
      <w:sz w:val="20"/>
    </w:rPr>
  </w:style>
  <w:style w:type="paragraph" w:customStyle="1" w:styleId="CPFSectionLead">
    <w:name w:val="CPF Section Lead"/>
    <w:basedOn w:val="Normal"/>
    <w:pPr>
      <w:spacing w:before="40" w:after="160" w:line="276" w:lineRule="auto"/>
    </w:pPr>
    <w:rPr>
      <w:rFonts w:ascii="Noto Sans KR" w:hAnsi="Noto Sans KR"/>
      <w:b w:val="0"/>
      <w:color w:val="243547"/>
      <w:sz w:val="19"/>
    </w:rPr>
  </w:style>
  <w:style w:type="paragraph" w:customStyle="1" w:styleId="CPFCallout">
    <w:name w:val="CPF Callout"/>
    <w:basedOn w:val="Normal"/>
    <w:pPr>
      <w:spacing w:before="80" w:after="140" w:line="269" w:lineRule="auto"/>
    </w:pPr>
    <w:rPr>
      <w:rFonts w:ascii="Noto Sans KR" w:hAnsi="Noto Sans KR"/>
      <w:b w:val="0"/>
      <w:color w:val="243547"/>
      <w:sz w:val="19"/>
    </w:rPr>
  </w:style>
  <w:style w:type="paragraph" w:customStyle="1" w:styleId="CPFWarning">
    <w:name w:val="CPF Warning"/>
    <w:basedOn w:val="Normal"/>
    <w:pPr>
      <w:spacing w:before="80" w:after="140" w:line="269" w:lineRule="auto"/>
    </w:pPr>
    <w:rPr>
      <w:rFonts w:ascii="Noto Sans KR" w:hAnsi="Noto Sans KR"/>
      <w:b w:val="0"/>
      <w:color w:val="A85600"/>
      <w:sz w:val="19"/>
    </w:rPr>
  </w:style>
  <w:style w:type="paragraph" w:customStyle="1" w:styleId="CPFSource">
    <w:name w:val="CPF Source"/>
    <w:basedOn w:val="Normal"/>
    <w:pPr>
      <w:spacing w:before="60" w:after="120" w:line="252" w:lineRule="auto"/>
    </w:pPr>
    <w:rPr>
      <w:rFonts w:ascii="Noto Sans KR" w:hAnsi="Noto Sans KR"/>
      <w:b w:val="0"/>
      <w:color w:val="5E7186"/>
      <w:sz w:val="18"/>
    </w:rPr>
  </w:style>
  <w:style w:type="paragraph" w:customStyle="1" w:styleId="CPFTOCEntry">
    <w:name w:val="CPF TOC Entry"/>
    <w:basedOn w:val="Normal"/>
    <w:pPr>
      <w:spacing w:before="0" w:after="50" w:line="252" w:lineRule="auto"/>
      <w:ind w:left="113"/>
    </w:pPr>
    <w:rPr>
      <w:rFonts w:ascii="Noto Sans KR" w:hAnsi="Noto Sans KR"/>
      <w:b w:val="0"/>
      <w:color w:val="243547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CPF Documentation Harness v2.3.0 PATCH_FIRST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