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Specification 기술 명세</w:t>
      </w:r>
    </w:p>
    <w:p>
      <w:pPr>
        <w:pStyle w:val="Subtitle"/>
      </w:pPr>
      <w:r>
        <w:rPr>
          <w:rFonts w:ascii="Noto Sans KR" w:hAnsi="Noto Sans KR" w:eastAsia="Noto Sans KR" w:cs="Noto Sans KR"/>
        </w:rPr>
        <w:t>CPF의 제품 범위·Stack·Public Contract·Identity·DB3 명세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아키텍트·리드 개발자·검수자를 위한 제품 명세입니다. 구현·문서·환경이 따라야 할 Canonical 계약을 확인합니다.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Source의 기술 Stack을 확인합니다.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Public Contract와 Identity 정본을 확인합니다.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Topology/DB3 지원 범위를 오해 없이 확인합니다.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제품 범위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기술 Stack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Public Contract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Context · Identity · Operation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지원 DB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6 Topology와 Optionality</w:t>
      </w:r>
      <w:r>
        <w:tab/>
      </w:r>
      <w:r>
        <w:rPr>
          <w:rFonts w:ascii="Noto Sans KR" w:hAnsi="Noto Sans KR"/>
          <w:b/>
          <w:color w:val="17324D"/>
          <w:sz w:val="20"/>
        </w:rPr>
        <w:t>5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제품 범위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CPF가 제공하는 Runtime/개발/운영 계약의 범위를 빠르게 확인합니다.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제품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406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1175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계약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Online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Web/Service/Persistence/Domain Invocation/Integration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Reliability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Idempotency/Retry/Timeout/UNKNOWN/Reconcile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Async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Messaging/Outbox/Inbox/DLQ/Replay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Job/Step/Control/Ledger/Lease/Fencing/Checkpoint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Data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JDBC/MyBatis/JPA/Cache/DB3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Permission/Approval/Audit/Masking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Operations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ADM/Backoffice/Trace/Health/Recovery/Deployment</w:t>
            </w:r>
          </w:p>
        </w:tc>
      </w:tr>
      <w:tr>
        <w:trPr>
          <w:cantSplit/>
          <w:trHeight w:hRule="atLeast" w:val="351"/>
        </w:trPr>
        <w:tc>
          <w:tcPr>
            <w:tcW w:type="dxa" w:w="40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Generator</w:t>
            </w:r>
          </w:p>
        </w:tc>
        <w:tc>
          <w:tcPr>
            <w:tcW w:type="dxa" w:w="117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Domain/Starter/DB/OpenAPI/Sample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2 기술 Stack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실제 Source의 canonical stack properties를 기준으로 개발 환경을 맞춥니다.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Canonical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966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15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버전/값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Java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25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Gradle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9.1.0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Boot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4.1.0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Dependency Management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1.1.7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Cloud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2025.1.2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Batch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6.0.4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MyBatis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3.5.19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springdoc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3.0.3</w:t>
            </w:r>
          </w:p>
        </w:tc>
      </w:tr>
      <w:tr>
        <w:trPr>
          <w:cantSplit/>
          <w:trHeight w:hRule="atLeast" w:val="351"/>
        </w:trPr>
        <w:tc>
          <w:tcPr>
            <w:tcW w:type="dxa" w:w="96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Servlet Spec</w:t>
            </w:r>
          </w:p>
        </w:tc>
        <w:tc>
          <w:tcPr>
            <w:tcW w:type="dxa" w:w="61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6.1</w:t>
            </w:r>
          </w:p>
        </w:tc>
      </w:tr>
    </w:tbl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gradle/cpf-stack.properties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3 Public Contract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일반 업무 개발자가 의존할 대표 API와 경계를 요약합니다.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대표 Public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23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792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API/Annotation</w:t>
            </w:r>
          </w:p>
        </w:tc>
        <w:tc>
          <w:tcPr>
            <w:tcW w:type="dxa" w:w="465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책임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Web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@CpfController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HTTP 진입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Service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@CpfService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규칙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Persistence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@CpfRepository / @CpfTransactional / CpfCrudRepository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DB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Domain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CpfDomainClient / @CpfOnlineTransaction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CPF-owned Domain 호출/Operation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Integration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 / @CpfTimeout / @CpfRetry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연계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Reliability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@CpfIdempotent / CpfResult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중복/UNKNOWN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@CpfPermission / @CpfApprovalRequired / @CpfAudit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권한/승인/감사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Async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@CpfMessageListener / CpfMessagingTemplate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메시징</w:t>
            </w:r>
          </w:p>
        </w:tc>
      </w:tr>
      <w:tr>
        <w:trPr>
          <w:cantSplit/>
          <w:trHeight w:hRule="atLeast" w:val="351"/>
        </w:trPr>
        <w:tc>
          <w:tcPr>
            <w:tcW w:type="dxa" w:w="32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  <w:tc>
          <w:tcPr>
            <w:tcW w:type="dxa" w:w="79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@CpfBatchJob / @CpfBatchStep</w:t>
            </w:r>
          </w:p>
        </w:tc>
        <w:tc>
          <w:tcPr>
            <w:tcW w:type="dxa" w:w="46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4 Context · Identity · Operation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거래 식별과 Runtime 식별을 혼동하지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80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09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69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전파</w:t>
            </w:r>
          </w:p>
        </w:tc>
      </w:tr>
      <w:tr>
        <w:trPr>
          <w:cantSplit/>
          <w:trHeight w:hRule="atLeast" w:val="351"/>
        </w:trPr>
        <w:tc>
          <w:tcPr>
            <w:tcW w:type="dxa" w:w="3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 식별</w:t>
            </w:r>
          </w:p>
        </w:tc>
        <w:tc>
          <w:tcPr>
            <w:tcW w:type="dxa" w:w="6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</w:t>
            </w:r>
          </w:p>
        </w:tc>
      </w:tr>
      <w:tr>
        <w:trPr>
          <w:cantSplit/>
          <w:trHeight w:hRule="atLeast" w:val="351"/>
        </w:trPr>
        <w:tc>
          <w:tcPr>
            <w:tcW w:type="dxa" w:w="3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operationId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Operation 단일 정본</w:t>
            </w:r>
          </w:p>
        </w:tc>
        <w:tc>
          <w:tcPr>
            <w:tcW w:type="dxa" w:w="6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Annotation/OpenAPI/Header/Client/ADM/Log</w:t>
            </w:r>
          </w:p>
        </w:tc>
      </w:tr>
      <w:tr>
        <w:trPr>
          <w:cantSplit/>
          <w:trHeight w:hRule="atLeast" w:val="351"/>
        </w:trPr>
        <w:tc>
          <w:tcPr>
            <w:tcW w:type="dxa" w:w="3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instanceId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Runtime Instance</w:t>
            </w:r>
          </w:p>
        </w:tc>
        <w:tc>
          <w:tcPr>
            <w:tcW w:type="dxa" w:w="6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bootstrap 1회 확정, Header 미포함</w:t>
            </w:r>
          </w:p>
        </w:tc>
      </w:tr>
      <w:tr>
        <w:trPr>
          <w:cantSplit/>
          <w:trHeight w:hRule="atLeast" w:val="351"/>
        </w:trPr>
        <w:tc>
          <w:tcPr>
            <w:tcW w:type="dxa" w:w="3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systemCode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System</w:t>
            </w:r>
          </w:p>
        </w:tc>
        <w:tc>
          <w:tcPr>
            <w:tcW w:type="dxa" w:w="6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 hop</w:t>
            </w:r>
          </w:p>
        </w:tc>
      </w:tr>
      <w:tr>
        <w:trPr>
          <w:cantSplit/>
          <w:trHeight w:hRule="atLeast" w:val="351"/>
        </w:trPr>
        <w:tc>
          <w:tcPr>
            <w:tcW w:type="dxa" w:w="3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originalSystemCode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최초 System</w:t>
            </w:r>
          </w:p>
        </w:tc>
        <w:tc>
          <w:tcPr>
            <w:tcW w:type="dxa" w:w="6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불변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5 지원 DB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공식 DB Vendor는 세 종류뿐입니다.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DB3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874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Vendor</w:t>
            </w:r>
          </w:p>
        </w:tc>
        <w:tc>
          <w:tcPr>
            <w:tcW w:type="dxa" w:w="707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상태</w:t>
            </w:r>
          </w:p>
        </w:tc>
      </w:tr>
      <w:tr>
        <w:trPr>
          <w:cantSplit/>
          <w:trHeight w:hRule="atLeast" w:val="351"/>
        </w:trPr>
        <w:tc>
          <w:tcPr>
            <w:tcW w:type="dxa" w:w="8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</w:t>
            </w:r>
          </w:p>
        </w:tc>
        <w:tc>
          <w:tcPr>
            <w:tcW w:type="dxa" w:w="70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공식</w:t>
            </w:r>
          </w:p>
        </w:tc>
      </w:tr>
      <w:tr>
        <w:trPr>
          <w:cantSplit/>
          <w:trHeight w:hRule="atLeast" w:val="351"/>
        </w:trPr>
        <w:tc>
          <w:tcPr>
            <w:tcW w:type="dxa" w:w="8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PostgreSQL</w:t>
            </w:r>
          </w:p>
        </w:tc>
        <w:tc>
          <w:tcPr>
            <w:tcW w:type="dxa" w:w="70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공식</w:t>
            </w:r>
          </w:p>
        </w:tc>
      </w:tr>
      <w:tr>
        <w:trPr>
          <w:cantSplit/>
          <w:trHeight w:hRule="atLeast" w:val="351"/>
        </w:trPr>
        <w:tc>
          <w:tcPr>
            <w:tcW w:type="dxa" w:w="8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MariaDB</w:t>
            </w:r>
          </w:p>
        </w:tc>
        <w:tc>
          <w:tcPr>
            <w:tcW w:type="dxa" w:w="70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공식</w:t>
            </w:r>
          </w:p>
        </w:tc>
      </w:tr>
    </w:tbl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제외  </w:t>
      </w:r>
      <w:r>
        <w:rPr>
          <w:rFonts w:ascii="Noto Sans KR" w:hAnsi="Noto Sans KR" w:eastAsia="Noto Sans KR" w:cs="Noto Sans KR"/>
        </w:rPr>
        <w:t>MySQL·MSSQL·H2를 공식 지원 Vendor나 Evidence 기준으로 사용하지 않습니다.</w:t>
      </w:r>
    </w:p>
    <w:p>
      <w:pPr>
        <w:pStyle w:val="Heading1"/>
        <w:keepNext/>
        <w:spacing w:before="320" w:after="120"/>
      </w:pPr>
      <w:r>
        <w:rPr>
          <w:rFonts w:ascii="Noto Sans KR" w:hAnsi="Noto Sans KR" w:eastAsia="Noto Sans KR" w:cs="Noto Sans KR"/>
        </w:rPr>
        <w:t>6 Topology와 Optionality</w:t>
      </w:r>
    </w:p>
    <w:p>
      <w:pPr>
        <w:spacing w:before="20" w:after="8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동일 JVM·분리 WAS·MSA에서 업무 계약은 유지하고 Transport만 바뀝니다.</w:t>
      </w:r>
    </w:p>
    <w:p>
      <w:pPr>
        <w:pStyle w:val="CPFCaption"/>
        <w:spacing w:before="20" w:after="80"/>
        <w:jc w:val="left"/>
      </w:pPr>
      <w:r>
        <w:rPr>
          <w:rFonts w:ascii="Noto Sans KR" w:hAnsi="Noto Sans KR" w:eastAsia="Noto Sans KR" w:cs="Noto Sans KR"/>
        </w:rPr>
        <w:t>Core/Public 계약을 유지하면서 Runtime topology와 선택형 Gateway/Backoffice를 분리합니다.</w:t>
      </w:r>
    </w:p>
    <w:p>
      <w:pPr>
        <w:pStyle w:val="CPFLabel"/>
      </w:pPr>
      <w:r>
        <w:t>Topology 선택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954"/>
        <w:gridCol w:w="3954"/>
        <w:gridCol w:w="3954"/>
        <w:gridCol w:w="3954"/>
      </w:tblGrid>
      <w:tr>
        <w:trPr>
          <w:tblHeader w:val="true"/>
        </w:trPr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0D2B45"/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0D2B45"/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/>
                <w:b/>
                <w:color w:val="FFFFFF"/>
                <w:sz w:val="18"/>
              </w:rPr>
              <w:t>호출/진입 경계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0D2B45"/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/>
                <w:b/>
                <w:color w:val="FFFFFF"/>
                <w:sz w:val="18"/>
              </w:rPr>
              <w:t>유지되는 계약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0D2B45"/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/>
                <w:b/>
                <w:color w:val="FFFFFF"/>
                <w:sz w:val="18"/>
              </w:rPr>
              <w:t>선택 판단</w:t>
            </w:r>
          </w:p>
        </w:tc>
      </w:tr>
      <w:tr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Same JVM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Caller → in-process binding → Owner Domain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Domain Operation·CpfContext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self-HTTP·Gateway 재경유 금지</w:t>
            </w:r>
          </w:p>
        </w:tc>
      </w:tr>
      <w:tr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분리 WAS/MSA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Registry/Transport → Owner Domain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Domain Operation·System6·결과 상태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배포 위치만 바꾸고 업무 계약은 유지</w:t>
            </w:r>
          </w:p>
        </w:tc>
      </w:tr>
      <w:tr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외부 Entry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External → Gateway(선택) → Target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Edge Policy·Target Operation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인증·Route·Rate Limit 등 Edge 정책이 필요할 때</w:t>
            </w:r>
          </w:p>
        </w:tc>
      </w:tr>
      <w:tr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Backoffice/BFF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Channel/BFF → Owner Domain Contract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Owner·Permission·Audit</w:t>
            </w:r>
          </w:p>
        </w:tc>
        <w:tc>
          <w:tcPr>
            <w:tcW w:type="dxa" w:w="3954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7FAFC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/>
                <w:b w:val="0"/>
                <w:color w:val="243547"/>
                <w:sz w:val="18"/>
              </w:rPr>
              <w:t>선택형 Surface이며 업무 원장을 직접 우회하지 않음</w:t>
            </w:r>
          </w:p>
        </w:tc>
      </w:tr>
    </w:tbl>
    <w:p>
      <w:pPr>
        <w:pStyle w:val="CPFCallout"/>
        <w:shd w:fill="EEF5FB"/>
        <w:pBdr>
          <w:left w:val="single" w:sz="16" w:space="7" w:color="4F46E5"/>
        </w:pBdr>
        <w:spacing w:before="100" w:after="100"/>
        <w:ind w:left="170"/>
      </w:pPr>
      <w:r>
        <w:t>선택하지 않은 Optional Capability는 Bean·Thread·SQL·Endpoint Side Effect를 남기지 않는 것이 기본 계약입니다.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Specification 기술 명세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