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기술표준서</w:t>
      </w:r>
    </w:p>
    <w:p>
      <w:pPr>
        <w:jc w:val="center"/>
      </w:pPr>
      <w:r>
        <w:rPr>
          <w:b/>
          <w:sz w:val="22"/>
        </w:rPr>
        <w:t>개발자 · 아키텍트 · Reviewer · 보안/품질 담당자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CPF를 사용하는 Source/API/Transaction/Log/Security/Test/배포의 필수 기술 규칙과 금지 패턴을 정의합니다.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API는 어떻게 설계?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§4~§6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계층/API/OpenAPI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 표준은?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Owner Local TX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Retry/Timeout은?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Resilience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보안/감사는?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§9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Permission/Secret/Masking/Audit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Test 기준은?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Unit/Integration/Fault/Browser</w:t>
            </w:r>
          </w:p>
        </w:tc>
      </w:tr>
    </w:tbl>
    <w:p>
      <w:pPr>
        <w:pStyle w:val="Callout"/>
      </w:pPr>
      <w:r>
        <w:t>완성 기준  이 문서는 제품 완료 상태에서 사용자가 수행할 최종 업무 계약을 기술합니다. 각 절은 선행조건 → 입력/설정 → 실행 → 정상 판정 → 실패/부분 실패 → 복구/대사 → Evidence 순서로 닫으며, Source Trace는 구현 위치를 제공합니다.</w:t>
      </w:r>
    </w:p>
    <w:p>
      <w:pPr>
        <w:pStyle w:val="Heading1"/>
      </w:pPr>
      <w:r>
        <w:t>1. 적용 원칙</w:t>
      </w:r>
    </w:p>
    <w:p>
      <w:pPr>
        <w:pStyle w:val="ListBullet"/>
      </w:pPr>
      <w:r>
        <w:t>실제 Public Contract를 우선하고 Internal package를 외부에서 사용하지 않습니다.</w:t>
      </w:r>
    </w:p>
    <w:p>
      <w:pPr>
        <w:pStyle w:val="ListBullet"/>
      </w:pPr>
      <w:r>
        <w:t>업무 Owner가 상태/원장을 소유하고 운영 제품이 직접 Table을 수정하지 않습니다.</w:t>
      </w:r>
    </w:p>
    <w:p>
      <w:pPr>
        <w:pStyle w:val="ListBullet"/>
      </w:pPr>
      <w:r>
        <w:t>시험은 명령, 입력, 기대 결과, 실제 결과, Evidence를 남기고 정상/오류/복구 시나리오를 모두 통과해야 변경 완료로 판정합니다.</w:t>
      </w:r>
    </w:p>
    <w:p>
      <w:pPr>
        <w:pStyle w:val="Heading1"/>
      </w:pPr>
      <w:r>
        <w:t>2. Package / Module 표준</w:t>
      </w:r>
    </w:p>
    <w:p>
      <w:pPr>
        <w:pStyle w:val="Code"/>
      </w:pPr>
      <w:r>
        <w:t>com.cpf.&lt;owner&gt;.api</w:t>
        <w:br/>
        <w:t>com.cpf.&lt;owner&gt;.spi</w:t>
        <w:br/>
        <w:t>com.cpf.&lt;owner&gt;.internal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금지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이유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Core→Common/Admin/Batch/업무 역참조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경량 Core/의존 방향 붕괴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Internal 직접 import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호환성/교체 불가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OSS 구현 Type을 Public API에 노출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Provider 교체/버전 종속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Domain 간 DB 직접 접근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Owner/Transaction 경계 붕괴</w:t>
            </w:r>
          </w:p>
        </w:tc>
      </w:tr>
    </w:tbl>
    <w:p>
      <w:pPr>
        <w:pStyle w:val="Heading1"/>
      </w:pPr>
      <w:r>
        <w:t>3. Starter/Dependency 표준</w:t>
      </w:r>
    </w:p>
    <w:p>
      <w:pPr>
        <w:pStyle w:val="ListBullet"/>
      </w:pPr>
      <w:r>
        <w:t>Profile이 resolved Leaf 목록과 version을 고정합니다.</w:t>
      </w:r>
    </w:p>
    <w:p>
      <w:pPr>
        <w:pStyle w:val="ListBullet"/>
      </w:pPr>
      <w:r>
        <w:t>Mega Starter(all/full/everything) 금지</w:t>
      </w:r>
    </w:p>
    <w:p>
      <w:pPr>
        <w:pStyle w:val="ListBullet"/>
      </w:pPr>
      <w:r>
        <w:t>선택하지 않은 provider의 Bean/SQL/Secret 요구 금지</w:t>
      </w:r>
    </w:p>
    <w:p>
      <w:pPr>
        <w:pStyle w:val="ListBullet"/>
      </w:pPr>
      <w:r>
        <w:t>Aggregate Starter는 dependency만 소유</w:t>
      </w:r>
    </w:p>
    <w:p>
      <w:pPr>
        <w:pStyle w:val="Heading1"/>
      </w:pPr>
      <w:r>
        <w:t>4. Application 계층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계층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책임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DTO/Validation/Auth context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Application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Use case/Transaction orchestration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Domain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규칙/상태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Persistence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DB mapping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 Adapter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protocol/provider</w:t>
            </w:r>
          </w:p>
        </w:tc>
      </w:tr>
    </w:tbl>
    <w:p>
      <w:pPr>
        <w:pStyle w:val="Heading1"/>
      </w:pPr>
      <w:r>
        <w:t>5. Query/Paging/Export 표준</w:t>
      </w:r>
    </w:p>
    <w:p>
      <w:pPr>
        <w:pStyle w:val="ListBullet"/>
      </w:pPr>
      <w:r>
        <w:t>page는 0-based 표준과 상한을 사용합니다.</w:t>
      </w:r>
    </w:p>
    <w:p>
      <w:pPr>
        <w:pStyle w:val="ListBullet"/>
      </w:pPr>
      <w:r>
        <w:t>Sort field는 allow-list로 SQL 식별자 injection을 차단합니다.</w:t>
      </w:r>
    </w:p>
    <w:p>
      <w:pPr>
        <w:pStyle w:val="ListBullet"/>
      </w:pPr>
      <w:r>
        <w:t>대량 Export를 일반 Page API 메모리 적재로 처리하지 않습니다.</w:t>
      </w:r>
    </w:p>
    <w:p>
      <w:pPr>
        <w:pStyle w:val="ListBullet"/>
      </w:pPr>
      <w:r>
        <w:t>외부 Cursor는 Signed Codec을 사용하고 단순 Base64를 신뢰하지 않습니다.</w:t>
      </w:r>
    </w:p>
    <w:p>
      <w:pPr>
        <w:pStyle w:val="Heading1"/>
      </w:pPr>
      <w:r>
        <w:t>6. HTTP·OpenAPI·JavaDoc 표준</w:t>
      </w:r>
    </w:p>
    <w:p>
      <w:pPr>
        <w:pStyle w:val="ListBullet"/>
      </w:pPr>
      <w:r>
        <w:t>operationId를 일관되게 유지해 Generated Client와 연결합니다.</w:t>
      </w:r>
    </w:p>
    <w:p>
      <w:pPr>
        <w:pStyle w:val="ListBullet"/>
      </w:pPr>
      <w:r>
        <w:t>Error taxonomy/409/timeout/unknown 의미를 API 계약에 반영합니다.</w:t>
      </w:r>
    </w:p>
    <w:p>
      <w:pPr>
        <w:pStyle w:val="ListBullet"/>
      </w:pPr>
      <w:r>
        <w:t>Public API/SPI와 복구/동시성/보안 로직에는 JavaDoc을 제공합니다.</w:t>
      </w:r>
    </w:p>
    <w:p>
      <w:pPr>
        <w:pStyle w:val="Heading1"/>
      </w:pPr>
      <w:r>
        <w:t>7. Transaction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상황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표준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하나의 Owner 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필요한 Current/History/Audit/Outbox를 Local TX로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HTTP/Broker/다른 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같은 Local TX로 설명 금지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응답 유실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Commit 여부 확인 전 UNKNOWN_RESULT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원격 확정 후 로컬 실패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원격 자동 rollback 가정 금지; compensation/reconcile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동시성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expectedVersion/lock/idempotency 명시</w:t>
            </w:r>
          </w:p>
        </w:tc>
      </w:tr>
    </w:tbl>
    <w:p>
      <w:pPr>
        <w:pStyle w:val="Heading1"/>
      </w:pPr>
      <w:r>
        <w:t>8. Timeout·Retry·Resilience 표준</w:t>
      </w:r>
    </w:p>
    <w:p>
      <w:pPr>
        <w:pStyle w:val="ListBullet"/>
      </w:pPr>
      <w:r>
        <w:t>전체 timeout budget을 caller→provider로 나눕니다.</w:t>
      </w:r>
    </w:p>
    <w:p>
      <w:pPr>
        <w:pStyle w:val="ListBullet"/>
      </w:pPr>
      <w:r>
        <w:t>Retry는 오류 유형과 idempotency/부작용 가능성을 함께 판정합니다.</w:t>
      </w:r>
    </w:p>
    <w:p>
      <w:pPr>
        <w:pStyle w:val="ListBullet"/>
      </w:pPr>
      <w:r>
        <w:t>Circuit breaker/bulkhead/rate limit 상태를 오류 taxonomy와 운영 metric에 연결합니다.</w:t>
      </w:r>
    </w:p>
    <w:p>
      <w:pPr>
        <w:pStyle w:val="ListBullet"/>
      </w:pPr>
      <w:r>
        <w:t>retry attempt마다 lineage를 남깁니다.</w:t>
      </w:r>
    </w:p>
    <w:p>
      <w:pPr>
        <w:pStyle w:val="Heading1"/>
      </w:pPr>
      <w:r>
        <w:t>9. Security·Permission·Masking·Approval·Audit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규칙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AuthN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사용자/서비스 identity 분리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AuthZ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서버 최종 판정; Menu/Action/API/Field/Data Scope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Secret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Source/문서/로그 평문 금지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Masking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응답 DTO/Log/Export에서 classification 기반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Approval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Reason + policy snapshot + SoD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Audit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actor/action/target/version/result/reference, immutable 지향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Break-glass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기간/범위/사후 Review</w:t>
            </w:r>
          </w:p>
        </w:tc>
      </w:tr>
    </w:tbl>
    <w:p>
      <w:pPr>
        <w:pStyle w:val="Heading1"/>
      </w:pPr>
      <w:r>
        <w:t>10. Logging·Observability 표준</w:t>
      </w:r>
    </w:p>
    <w:p>
      <w:pPr>
        <w:pStyle w:val="ListBullet"/>
      </w:pPr>
      <w:r>
        <w:t>transactionId/segment/attempt/trace/instance를 연결합니다.</w:t>
      </w:r>
    </w:p>
    <w:p>
      <w:pPr>
        <w:pStyle w:val="ListBullet"/>
      </w:pPr>
      <w:r>
        <w:t>NOT_APPLICABLE과 MISSING/FAILED/STALE을 구분합니다.</w:t>
      </w:r>
    </w:p>
    <w:p>
      <w:pPr>
        <w:pStyle w:val="ListBullet"/>
      </w:pPr>
      <w:r>
        <w:t>DB Commit 성공과 FileLog 기록 성공을 별도 판정합니다.</w:t>
      </w:r>
    </w:p>
    <w:p>
      <w:pPr>
        <w:pStyle w:val="ListBullet"/>
      </w:pPr>
      <w:r>
        <w:t>Secret/Token/PII 원문을 기록하지 않습니다.</w:t>
      </w:r>
    </w:p>
    <w:p>
      <w:pPr>
        <w:pStyle w:val="Heading1"/>
      </w:pPr>
      <w:r>
        <w:t>11. Test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Test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최소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Unit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validation/domain/state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DB/API/provider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Contract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Local/Remote/OpenAPI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Concurrency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duplicate/version/race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Fault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timeout/response loss/process kill/disk/broker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Browser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권한/route/409/partial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Recovery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restart/reprocess/reconcile/rollback</w:t>
            </w:r>
          </w:p>
        </w:tc>
      </w:tr>
    </w:tbl>
    <w:p>
      <w:pPr>
        <w:pStyle w:val="Heading1"/>
      </w:pPr>
      <w:r>
        <w:t>12. 배포/변경 표준</w:t>
      </w:r>
    </w:p>
    <w:p>
      <w:pPr>
        <w:pStyle w:val="ListBullet"/>
      </w:pPr>
      <w:r>
        <w:t>Artifact checksum/SBOM/signature와 Config version을 기록합니다.</w:t>
      </w:r>
    </w:p>
    <w:p>
      <w:pPr>
        <w:pStyle w:val="ListBullet"/>
      </w:pPr>
      <w:r>
        <w:t>DB Migration과 App rollback을 독립적으로 계획합니다.</w:t>
      </w:r>
    </w:p>
    <w:p>
      <w:pPr>
        <w:pStyle w:val="ListBullet"/>
      </w:pPr>
      <w:r>
        <w:t>Rolling/Canary/Blue-Green은 version/drift/health를 검증합니다.</w:t>
      </w:r>
    </w:p>
    <w:p>
      <w:pPr>
        <w:pStyle w:val="Heading2"/>
      </w:pPr>
      <w:r>
        <w:t>관련 정본 문서</w:t>
      </w:r>
    </w:p>
    <w:p>
      <w:r>
        <w:rPr>
          <w:b/>
        </w:rPr>
        <w:t xml:space="preserve">개발 절차 → </w:t>
      </w:r>
      <w:hyperlink r:id="rId11">
        <w:r>
          <w:rPr>
            <w:color w:val="0563C1"/>
            <w:u w:val="single"/>
          </w:rPr>
          <w:t>../guides/01_개발자매뉴얼.pdf</w:t>
        </w:r>
      </w:hyperlink>
      <w:r>
        <w:t xml:space="preserve"> / 전체</w:t>
      </w:r>
    </w:p>
    <w:p>
      <w:r>
        <w:rPr>
          <w:b/>
        </w:rPr>
        <w:t xml:space="preserve">운영 절차 → </w:t>
      </w:r>
      <w:hyperlink r:id="rId12">
        <w:r>
          <w:rPr>
            <w:color w:val="0563C1"/>
            <w:u w:val="single"/>
          </w:rPr>
          <w:t>../guides/05_플랫폼운영매뉴얼.pdf</w:t>
        </w:r>
      </w:hyperlink>
      <w:r>
        <w:t xml:space="preserve"> / 전체</w:t>
      </w:r>
    </w:p>
    <w:p>
      <w:r>
        <w:rPr>
          <w:b/>
        </w:rPr>
        <w:t xml:space="preserve">DB 표준 → </w:t>
      </w:r>
      <w:hyperlink r:id="rId13">
        <w:r>
          <w:rPr>
            <w:color w:val="0563C1"/>
            <w:u w:val="single"/>
          </w:rPr>
          <w:t>데이터베이스표준서.pdf</w:t>
        </w:r>
      </w:hyperlink>
      <w:r>
        <w:t xml:space="preserve"> / 전체</w:t>
      </w:r>
    </w:p>
    <w:p>
      <w:pPr>
        <w:pStyle w:val="Heading1"/>
      </w:pPr>
      <w:r>
        <w:t>13. Code Review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Review 질문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실패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Owner가 명확한가?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공통이라고 Core/Common에 업무 로직 삽입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Public 계약인가?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Internal import/OSS type leak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 경계가 맞나?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 DB를 local rollback으로 설명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Idempotency가 필요한가?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blind retry 가능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Error가 분류됐나?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timeout/unknown을 500 하나로 합침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Permission은 서버가 판정?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UI hide만 존재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Secret/PII 안전?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raw payload/log/export 노출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Test가 실제 경계를 검증?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happy path only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운영 인계 가능?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operation/log/metric/audit 연결 없음</w:t>
            </w:r>
          </w:p>
        </w:tc>
      </w:tr>
    </w:tbl>
    <w:p>
      <w:pPr>
        <w:pStyle w:val="Heading1"/>
      </w:pPr>
      <w:r>
        <w:t>14. 금지 패턴 Catalog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패턴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왜 금지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대안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URL/Port 하드코딩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Topology 변경 불가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Registry/Config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SQL sort 문자열 직접 연결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Injection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allow-list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UUID로 transactionId 재생성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계보 단절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TransactionContext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timeout이면 바로 retry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부작용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 lookup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catch(Exception) 후 성공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장애 은폐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Error taxonomy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Admin DB direct update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불변식 우회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 Command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 default in source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유출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 provider/env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무제한 queue/cache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자원 고갈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bounded + metric/backpressure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Test mock만으로 multi-instance 완료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실행 근거 없음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runtime/fault test</w:t>
            </w:r>
          </w:p>
        </w:tc>
      </w:tr>
    </w:tbl>
    <w:p>
      <w:pPr>
        <w:pStyle w:val="Heading1"/>
      </w:pPr>
      <w:r>
        <w:t>15. 변경 유형별 필수 Test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변경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Public 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unit/contract/OpenAPI/generated client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Persistence/SQL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integration/migration/rollback/DB vendor parity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conflict/idempotency/timeout/response loss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Messaging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duplicate/replay/DLQ/broker outage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route/auth/security/timeout/failover/partial apply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ADM/BZA UI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permission/route/browser/409/partial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restart/process kill/partition/lease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Config/Secret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invalid/missing/rotation/restart</w:t>
            </w:r>
          </w:p>
        </w:tc>
      </w:tr>
    </w:tbl>
    <w:p>
      <w:pPr>
        <w:pStyle w:val="Heading1"/>
      </w:pPr>
      <w:r>
        <w:t>16. API Error Mapping 권고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범주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HTTP 예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내부 의미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주의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Validation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400/422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입력/업무 사전조건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stack/internal detail 노출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Unauthenticated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401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인증 없음/만료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credential detail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Forbidden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403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권한/Data Scope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존재 여부 leakage 주의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 found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404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resource 없음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IDOR와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Conflict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409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expectedVersion/idempotency conflict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reread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Rate limit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429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제한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Retry-After 정책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Dependency/Transient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502/503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 장애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 eligibility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Timeout/Unknown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504 또는 제품 error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결과 불명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FAILED로 단순화 금지</w:t>
            </w:r>
          </w:p>
        </w:tc>
      </w:tr>
    </w:tbl>
    <w:p>
      <w:pPr>
        <w:pStyle w:val="Heading1"/>
      </w:pPr>
      <w:r>
        <w:t>17. Observability Field 표준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Field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 범위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end-to-end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hop마다 새 ID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segmentId/parent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remote/async/batch segment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parent 누락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attempt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retry/reprocess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attempt 덮어쓰기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long-running/unknown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response loss 후 새 operation 남발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trace/span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 호출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transaction과 분리된 단독 로그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actor/service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 identity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client 입력 그대로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reason/approval/audit ref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조치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PII/secret 포함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error code/state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오류/상태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stack trace만</w:t>
            </w:r>
          </w:p>
        </w:tc>
      </w:tr>
    </w:tbl>
    <w:p>
      <w:pPr>
        <w:pStyle w:val="Heading1"/>
      </w:pPr>
      <w:r>
        <w:t>18. 문서/Source 변경 동시성 표준</w:t>
      </w:r>
    </w:p>
    <w:p>
      <w:pPr>
        <w:pStyle w:val="ListBullet"/>
      </w:pPr>
      <w:r>
        <w:t>Public API/Starter/Route/Property/SQL이 변경되면 같은 변경 단위에서 Owner Document를 현행화합니다.</w:t>
      </w:r>
    </w:p>
    <w:p>
      <w:pPr>
        <w:pStyle w:val="ListBullet"/>
      </w:pPr>
      <w:r>
        <w:t>다른 문서는 상세 내용을 복사하지 않고 링크/요약만 갱신합니다.</w:t>
      </w:r>
    </w:p>
    <w:p>
      <w:pPr>
        <w:pStyle w:val="ListBullet"/>
      </w:pPr>
      <w:r>
        <w:t>Source·Test·SQL·API·문서는 같은 계약을 표현해야 하며, 어느 한쪽만 변경한 상태는 변경 완료로 판정하지 않습니다.</w:t>
      </w:r>
    </w:p>
    <w:p>
      <w:pPr>
        <w:pStyle w:val="ListBullet"/>
      </w:pPr>
      <w:r>
        <w:t>문서 생성 결과가 Source를 앞서가는 신규 API/Class/Property를 만들지 않습니다.</w:t>
      </w:r>
    </w:p>
    <w:p>
      <w:pPr>
        <w:pStyle w:val="Heading1"/>
      </w:pPr>
      <w:r>
        <w:t>19. 변경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변경 유형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필수 종료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Public API/SPI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Compatibility + JavaDoc + Unit/Integration + Consumer + 문서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Starter/Config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Catalog/AutoConfig/Provider Binding/Conflict/Property/Secret/Test/Guide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Transaction/Remote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Idempotency/Timeout/Unknown/Compensation/Fault/Multi-instance Trace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Migration/rollback-forward/verify/drift/backup/restore + 3 Vendor parity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ADM/BZA/Gateway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Route/Permission/Operation/Generated Client/Browser/Audit/Recovery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Batch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Metadata/Restart/Partition/Worker/Lease/Fencing/Reconcile/ADM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negative corpus/Masking/Secret/SoD/Approval/Audit/Rotation</w:t>
            </w:r>
          </w:p>
        </w:tc>
      </w:tr>
    </w:tbl>
    <w:p>
      <w:pPr>
        <w:pStyle w:val="Heading1"/>
      </w:pPr>
      <w:r>
        <w:t>20. 변경 승인 Evidence 최소 세트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변경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승인 전에 첨부할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API/SPI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before/after contract, JavaDoc, compatibility, consumer compile/integration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Starter/Config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catalog diff, AutoConfiguration test, provider conflict/negative test, property reference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Transaction/Remote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timeout/response-loss/idempotency/compensation/multi-instance trace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migration checksum/history, 3 vendor verify, rollback/forward, restore/data reconcile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ADM/BZA/Gateway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route/permission/operation/generated client/browser/negative/recovery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job metadata, restart/partition/worker/lease/fencing/reconcile/fault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negative corpus, masking, secret rotation, SoD/approval/audit evidence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기술표준서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guides/01_&#44060;&#48156;&#51088;&#47588;&#45684;&#50620;.pdf" TargetMode="External"/><Relationship Id="rId12" Type="http://schemas.openxmlformats.org/officeDocument/2006/relationships/hyperlink" Target="../guides/05_&#54540;&#47019;&#54268;&#50868;&#50689;&#47588;&#45684;&#50620;.pdf" TargetMode="External"/><Relationship Id="rId13" Type="http://schemas.openxmlformats.org/officeDocument/2006/relationships/hyperlink" Target="&#45936;&#51060;&#53552;&#48288;&#51060;&#49828;&#54364;&#51456;&#49436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