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eastAsia="Noto Sans KR" w:cs="Noto Sans KR" w:ascii="Noto Sans KR" w:hAnsi="Noto Sans KR"/>
        </w:rPr>
        <w:t xml:space="preserve">Specification </w:t>
      </w:r>
      <w:r>
        <w:rPr>
          <w:rFonts w:ascii="Noto Sans KR" w:hAnsi="Noto Sans KR" w:cs="Noto Sans KR" w:eastAsia="Noto Sans KR"/>
        </w:rPr>
        <w:t>기술 명세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CPF</w:t>
      </w:r>
      <w:r>
        <w:rPr>
          <w:rFonts w:ascii="Noto Sans KR" w:hAnsi="Noto Sans KR" w:cs="Noto Sans KR" w:eastAsia="Noto Sans KR"/>
        </w:rPr>
        <w:t>의 제품 범위</w:t>
      </w:r>
      <w:r>
        <w:rPr>
          <w:rFonts w:eastAsia="Noto Sans KR" w:cs="Noto Sans KR" w:ascii="Noto Sans KR" w:hAnsi="Noto Sans KR"/>
        </w:rPr>
        <w:t xml:space="preserve">·Stack·Public Contract·Identity·DB3 </w:t>
      </w:r>
      <w:r>
        <w:rPr>
          <w:rFonts w:ascii="Noto Sans KR" w:hAnsi="Noto Sans KR" w:cs="Noto Sans KR" w:eastAsia="Noto Sans KR"/>
        </w:rPr>
        <w:t>명세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아키텍트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리드 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검수자를 위한 제품 명세입니다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구현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문서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 xml:space="preserve">환경이 따라야 할 </w:t>
      </w:r>
      <w:r>
        <w:rPr>
          <w:rFonts w:eastAsia="Noto Sans KR" w:ascii="Noto Sans KR" w:hAnsi="Noto Sans KR" w:cs="Noto Sans KR"/>
        </w:rPr>
        <w:t xml:space="preserve">Canonical </w:t>
      </w:r>
      <w:r>
        <w:rPr>
          <w:rFonts w:ascii="Noto Sans KR" w:hAnsi="Noto Sans KR" w:eastAsia="Noto Sans KR" w:cs="Noto Sans KR"/>
        </w:rPr>
        <w:t>계약을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Source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기술 </w:t>
      </w:r>
      <w:r>
        <w:rPr>
          <w:rFonts w:eastAsia="Noto Sans KR" w:cs="Noto Sans KR" w:ascii="Noto Sans KR" w:hAnsi="Noto Sans KR"/>
          <w:color w:val="243547"/>
          <w:sz w:val="20"/>
        </w:rPr>
        <w:t>Stack</w:t>
      </w:r>
      <w:r>
        <w:rPr>
          <w:rFonts w:ascii="Noto Sans KR" w:hAnsi="Noto Sans KR" w:cs="Noto Sans KR" w:eastAsia="Noto Sans KR"/>
          <w:color w:val="243547"/>
          <w:sz w:val="20"/>
        </w:rPr>
        <w:t>을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Public Contract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Identity </w:t>
      </w:r>
      <w:r>
        <w:rPr>
          <w:rFonts w:ascii="Noto Sans KR" w:hAnsi="Noto Sans KR" w:cs="Noto Sans KR" w:eastAsia="Noto Sans KR"/>
          <w:color w:val="243547"/>
          <w:sz w:val="20"/>
        </w:rPr>
        <w:t>정본을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Topology/DB3 </w:t>
      </w:r>
      <w:r>
        <w:rPr>
          <w:rFonts w:ascii="Noto Sans KR" w:hAnsi="Noto Sans KR" w:cs="Noto Sans KR" w:eastAsia="Noto Sans KR"/>
          <w:color w:val="243547"/>
          <w:sz w:val="20"/>
        </w:rPr>
        <w:t>지원 범위를 오해 없이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  <w:br w:type="page"/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4532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제품 범위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34_1421710836">
            <w:r>
              <w:rPr>
                <w:rStyle w:val="IndexLink"/>
              </w:rPr>
              <w:t>제품 범위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36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 xml:space="preserve">기술 </w:t>
            </w:r>
            <w:r>
              <w:rPr>
                <w:rStyle w:val="IndexLink"/>
              </w:rPr>
              <w:t>Stack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38_1421710836">
            <w:r>
              <w:rPr>
                <w:rStyle w:val="IndexLink"/>
              </w:rPr>
              <w:t>Canonical Stack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40_1421710836">
            <w:r>
              <w:rPr>
                <w:rStyle w:val="IndexLink"/>
              </w:rPr>
              <w:t>3 Public Contract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42_1421710836">
            <w:r>
              <w:rPr>
                <w:rStyle w:val="IndexLink"/>
              </w:rPr>
              <w:t xml:space="preserve">대표 </w:t>
            </w:r>
            <w:r>
              <w:rPr>
                <w:rStyle w:val="IndexLink"/>
              </w:rPr>
              <w:t>Public Contract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44_1421710836">
            <w:r>
              <w:rPr>
                <w:rStyle w:val="IndexLink"/>
              </w:rPr>
              <w:t>4 Context · Identity · Operation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46_1421710836">
            <w:r>
              <w:rPr>
                <w:rStyle w:val="IndexLink"/>
              </w:rPr>
              <w:t>Identity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48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지원 </w:t>
            </w:r>
            <w:r>
              <w:rPr>
                <w:rStyle w:val="IndexLink"/>
              </w:rPr>
              <w:t>DB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50_1421710836">
            <w:r>
              <w:rPr>
                <w:rStyle w:val="IndexLink"/>
              </w:rPr>
              <w:t>DB3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52_1421710836">
            <w:r>
              <w:rPr>
                <w:rStyle w:val="IndexLink"/>
              </w:rPr>
              <w:t>6 Topology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Optionality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54_1421710836">
            <w:r>
              <w:rPr>
                <w:rStyle w:val="IndexLink"/>
              </w:rPr>
              <w:t xml:space="preserve">Topology </w:t>
            </w:r>
            <w:r>
              <w:rPr>
                <w:rStyle w:val="IndexLink"/>
              </w:rPr>
              <w:t>선택 기준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56_1421710836">
            <w:r>
              <w:rPr>
                <w:rStyle w:val="IndexLink"/>
              </w:rPr>
              <w:t xml:space="preserve">7 Result·Error·Transaction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58_1421710836">
            <w:r>
              <w:rPr>
                <w:rStyle w:val="IndexLink"/>
              </w:rPr>
              <w:t>Result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HTTP Mapping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0_1421710836">
            <w:r>
              <w:rPr>
                <w:rStyle w:val="IndexLink"/>
              </w:rPr>
              <w:t>Idempotency·Retry·Reconcile</w:t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62_1421710836">
            <w:r>
              <w:rPr>
                <w:rStyle w:val="IndexLink"/>
              </w:rPr>
              <w:t xml:space="preserve">8 Messaging·Cache·File·Security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4_1421710836">
            <w:r>
              <w:rPr>
                <w:rStyle w:val="IndexLink"/>
              </w:rPr>
              <w:t>Messaging·Notification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6_1421710836">
            <w:r>
              <w:rPr>
                <w:rStyle w:val="IndexLink"/>
              </w:rPr>
              <w:t>Cache·File·Object Storage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8_1421710836">
            <w:r>
              <w:rPr>
                <w:rStyle w:val="IndexLink"/>
              </w:rPr>
              <w:t>Security·Approval·Audit</w:t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70_1421710836">
            <w:r>
              <w:rPr>
                <w:rStyle w:val="IndexLink"/>
              </w:rPr>
              <w:t xml:space="preserve">9 Batch·Gateway·DB·Platform State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72_1421710836">
            <w:r>
              <w:rPr>
                <w:rStyle w:val="IndexLink"/>
              </w:rPr>
              <w:t>Batch·Gateway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74_1421710836">
            <w:r>
              <w:rPr>
                <w:rStyle w:val="IndexLink"/>
              </w:rPr>
              <w:t>DB Lifecycle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>Platform State</w:t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76_1421710836">
            <w:r>
              <w:rPr>
                <w:rStyle w:val="IndexLink"/>
              </w:rPr>
              <w:t>10 Operations·OpenAPI·Compatibility·Acceptance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78_1421710836">
            <w:r>
              <w:rPr>
                <w:rStyle w:val="IndexLink"/>
              </w:rPr>
              <w:t>OpenAPI·Frontend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80_1421710836">
            <w:r>
              <w:rPr>
                <w:rStyle w:val="IndexLink"/>
              </w:rPr>
              <w:t>Contract Acceptance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4532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제품 범위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CPF</w:t>
      </w:r>
      <w:r>
        <w:rPr>
          <w:rFonts w:ascii="Noto Sans KR" w:hAnsi="Noto Sans KR" w:cs="Noto Sans KR" w:eastAsia="Noto Sans KR"/>
        </w:rPr>
        <w:t xml:space="preserve">가 제공하는 </w:t>
      </w:r>
      <w:r>
        <w:rPr>
          <w:rFonts w:eastAsia="Noto Sans KR" w:cs="Noto Sans KR" w:ascii="Noto Sans KR" w:hAnsi="Noto Sans KR"/>
        </w:rPr>
        <w:t>Runtime/</w:t>
      </w:r>
      <w:r>
        <w:rPr>
          <w:rFonts w:ascii="Noto Sans KR" w:hAnsi="Noto Sans KR" w:cs="Noto Sans KR" w:eastAsia="Noto Sans KR"/>
        </w:rPr>
        <w:t>개발</w:t>
      </w:r>
      <w:r>
        <w:rPr>
          <w:rFonts w:eastAsia="Noto Sans KR" w:cs="Noto Sans KR" w:ascii="Noto Sans KR" w:hAnsi="Noto Sans KR"/>
        </w:rPr>
        <w:t>/</w:t>
      </w:r>
      <w:r>
        <w:rPr>
          <w:rFonts w:ascii="Noto Sans KR" w:hAnsi="Noto Sans KR" w:cs="Noto Sans KR" w:eastAsia="Noto Sans KR"/>
        </w:rPr>
        <w:t>운영 계약의 범위를 빠르게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4534_1421710836"/>
      <w:bookmarkEnd w:id="1"/>
      <w:r>
        <w:rPr>
          <w:rFonts w:ascii="Noto Sans KR" w:hAnsi="Noto Sans KR" w:cs="Noto Sans KR" w:eastAsia="Noto Sans KR"/>
        </w:rPr>
        <w:t>제품 범위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제품 범위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제품 범위의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88528"/>
        <w:gridCol w:w="8355902"/>
      </w:tblGrid>
      <w:tr>
        <w:trPr>
          <w:tblHeader w:val="true"/>
          <w:trHeight w:val="397" w:hRule="atLeast"/>
          <w:cantSplit w:val="true"/>
        </w:trPr>
        <w:tc>
          <w:tcPr>
            <w:tcW w:w="168852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영역</w:t>
            </w:r>
          </w:p>
        </w:tc>
        <w:tc>
          <w:tcPr>
            <w:tcW w:w="835590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계약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Online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Web/Service/Persistence/Domain Invocation/Integration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Reliability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Idempotency/Retry/Timeout/UNKNOWN/Reconcile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Messaging/Outbox/Inbox/DLQ/Replay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Job/Step/Control/Ledger/Lease/Fencing/Checkpoint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JDBC/MyBatis/JPA/Cache/DB3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Permission/Approval/Audit/Masking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Operations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ADM/Backoffice/Trace/Health/Recovery/Deployment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Domain/Starter/DB/OpenAPI/Sample</w:t>
            </w:r>
          </w:p>
        </w:tc>
      </w:tr>
    </w:tbl>
    <w:p>
      <w:pPr>
        <w:pStyle w:val="Heading1"/>
        <w:keepNext w:val="true"/>
        <w:rPr/>
      </w:pPr>
      <w:bookmarkStart w:id="2" w:name="__RefHeading___Toc4536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 xml:space="preserve">기술 </w:t>
      </w:r>
      <w:r>
        <w:rPr>
          <w:rFonts w:eastAsia="Noto Sans KR" w:cs="Noto Sans KR" w:ascii="Noto Sans KR" w:hAnsi="Noto Sans KR"/>
        </w:rPr>
        <w:t>Stack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실제 </w:t>
      </w:r>
      <w:r>
        <w:rPr>
          <w:rFonts w:eastAsia="Noto Sans KR" w:cs="Noto Sans KR" w:ascii="Noto Sans KR" w:hAnsi="Noto Sans KR"/>
        </w:rPr>
        <w:t>Source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>canonical stack properties</w:t>
      </w:r>
      <w:r>
        <w:rPr>
          <w:rFonts w:ascii="Noto Sans KR" w:hAnsi="Noto Sans KR" w:cs="Noto Sans KR" w:eastAsia="Noto Sans KR"/>
        </w:rPr>
        <w:t>를 기준으로 개발 환경을 맞춥니다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4538_1421710836"/>
      <w:bookmarkEnd w:id="3"/>
      <w:r>
        <w:rPr>
          <w:rFonts w:eastAsia="Noto Sans KR" w:cs="Noto Sans KR" w:ascii="Noto Sans KR" w:hAnsi="Noto Sans KR"/>
        </w:rPr>
        <w:t>Canonical Stack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2-1. Canonical Stack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Canonical Stack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6804291"/>
        <w:gridCol w:w="3240139"/>
      </w:tblGrid>
      <w:tr>
        <w:trPr>
          <w:tblHeader w:val="true"/>
          <w:trHeight w:val="397" w:hRule="atLeast"/>
          <w:cantSplit w:val="true"/>
        </w:trPr>
        <w:tc>
          <w:tcPr>
            <w:tcW w:w="680429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w="324013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버전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값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Java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25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Gradle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9.1.0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Boot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4.1.0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Dependency Management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1.1.7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Cloud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2025.1.2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Batch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6.0.4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MyBatis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3.5.19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springdoc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3.0.3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Servlet Spec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6.1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gradle/cpf-stack.properties</w:t>
      </w:r>
    </w:p>
    <w:p>
      <w:pPr>
        <w:pStyle w:val="Heading1"/>
        <w:keepNext w:val="true"/>
        <w:rPr/>
      </w:pPr>
      <w:bookmarkStart w:id="4" w:name="__RefHeading___Toc4540_1421710836"/>
      <w:bookmarkEnd w:id="4"/>
      <w:r>
        <w:rPr>
          <w:rFonts w:eastAsia="Noto Sans KR" w:cs="Noto Sans KR" w:ascii="Noto Sans KR" w:hAnsi="Noto Sans KR"/>
        </w:rPr>
        <w:t>3 Public Contract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일반 업무 개발자가 의존할 대표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>와 경계를 요약합니다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4542_1421710836"/>
      <w:bookmarkEnd w:id="5"/>
      <w:r>
        <w:rPr>
          <w:rFonts w:ascii="Noto Sans KR" w:hAnsi="Noto Sans KR" w:cs="Noto Sans KR" w:eastAsia="Noto Sans KR"/>
        </w:rPr>
        <w:t xml:space="preserve">대표 </w:t>
      </w:r>
      <w:r>
        <w:rPr>
          <w:rFonts w:eastAsia="Noto Sans KR" w:cs="Noto Sans KR" w:ascii="Noto Sans KR" w:hAnsi="Noto Sans KR"/>
        </w:rPr>
        <w:t>Public Contract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대표 </w:t>
      </w:r>
      <w:r>
        <w:rPr>
          <w:rFonts w:eastAsia="Noto Sans KR" w:ascii="Noto Sans KR" w:hAnsi="Noto Sans KR" w:cs="Noto Sans KR"/>
          <w:b/>
          <w:color w:val="17324D"/>
          <w:sz w:val="20"/>
        </w:rPr>
        <w:t>Public Contract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대표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Public Contract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41204"/>
        <w:gridCol w:w="6487042"/>
        <w:gridCol w:w="1916184"/>
      </w:tblGrid>
      <w:tr>
        <w:trPr>
          <w:tblHeader w:val="true"/>
          <w:trHeight w:val="397" w:hRule="atLeast"/>
          <w:cantSplit w:val="true"/>
        </w:trPr>
        <w:tc>
          <w:tcPr>
            <w:tcW w:w="164120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분류</w:t>
            </w:r>
          </w:p>
        </w:tc>
        <w:tc>
          <w:tcPr>
            <w:tcW w:w="648704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API/Annotation</w:t>
            </w:r>
          </w:p>
        </w:tc>
        <w:tc>
          <w:tcPr>
            <w:tcW w:w="191618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책임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Web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@CpfRestController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진입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Service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@CpfService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규칙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Persistence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@CpfRepository / @CpfTransactional / CpfCrudRepository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DB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CpfDomainClient / @CpfOnlineTransaction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CPF-owned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/Operation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Integration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 / @CpfTimeLimiter / @CpfRetry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연계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Reliability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 / CpfResult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/UNKNOWN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@CpfPermission / @CpfApprovalRequired / @CpfAudit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 / CpfMessagingTemplate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메시징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@CpfBatchJob / @CpfBatchStep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</w:tr>
    </w:tbl>
    <w:p>
      <w:pPr>
        <w:pStyle w:val="Heading1"/>
        <w:keepNext w:val="true"/>
        <w:rPr/>
      </w:pPr>
      <w:bookmarkStart w:id="6" w:name="__RefHeading___Toc4544_1421710836"/>
      <w:bookmarkEnd w:id="6"/>
      <w:r>
        <w:rPr>
          <w:rFonts w:eastAsia="Noto Sans KR" w:cs="Noto Sans KR" w:ascii="Noto Sans KR" w:hAnsi="Noto Sans KR"/>
        </w:rPr>
        <w:t>4 Context · Identity · Operation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거래 식별과 </w:t>
      </w:r>
      <w:r>
        <w:rPr>
          <w:rFonts w:eastAsia="Noto Sans KR" w:cs="Noto Sans KR" w:ascii="Noto Sans KR" w:hAnsi="Noto Sans KR"/>
        </w:rPr>
        <w:t xml:space="preserve">Runtime </w:t>
      </w:r>
      <w:r>
        <w:rPr>
          <w:rFonts w:ascii="Noto Sans KR" w:hAnsi="Noto Sans KR" w:cs="Noto Sans KR" w:eastAsia="Noto Sans KR"/>
        </w:rPr>
        <w:t>식별을 혼동하지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7" w:name="__RefHeading___Toc4546_1421710836"/>
      <w:bookmarkEnd w:id="7"/>
      <w:r>
        <w:rPr>
          <w:rFonts w:eastAsia="Noto Sans KR" w:cs="Noto Sans KR" w:ascii="Noto Sans KR" w:hAnsi="Noto Sans KR"/>
        </w:rPr>
        <w:t>Identity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4-1. Identity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Identity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335067"/>
        <w:gridCol w:w="3118043"/>
        <w:gridCol w:w="4591320"/>
      </w:tblGrid>
      <w:tr>
        <w:trPr>
          <w:tblHeader w:val="true"/>
          <w:trHeight w:val="397" w:hRule="atLeast"/>
          <w:cantSplit w:val="true"/>
        </w:trPr>
        <w:tc>
          <w:tcPr>
            <w:tcW w:w="233506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w="311804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정의</w:t>
            </w:r>
          </w:p>
        </w:tc>
        <w:tc>
          <w:tcPr>
            <w:tcW w:w="459132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전파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식별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정본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Annotation/OpenAPI/Header/Client/ADM/Log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instanceId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 Instance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bootstrap 1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회 확정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, Header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미포함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systemCode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hop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originalSystemCode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최초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불변</w:t>
            </w:r>
          </w:p>
        </w:tc>
      </w:tr>
    </w:tbl>
    <w:p>
      <w:pPr>
        <w:pStyle w:val="Heading1"/>
        <w:keepNext w:val="true"/>
        <w:rPr/>
      </w:pPr>
      <w:bookmarkStart w:id="8" w:name="__RefHeading___Toc4548_1421710836"/>
      <w:bookmarkEnd w:id="8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지원 </w:t>
      </w:r>
      <w:r>
        <w:rPr>
          <w:rFonts w:eastAsia="Noto Sans KR" w:cs="Noto Sans KR" w:ascii="Noto Sans KR" w:hAnsi="Noto Sans KR"/>
        </w:rPr>
        <w:t>DB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>DB Vendor</w:t>
      </w:r>
      <w:r>
        <w:rPr>
          <w:rFonts w:ascii="Noto Sans KR" w:hAnsi="Noto Sans KR" w:cs="Noto Sans KR" w:eastAsia="Noto Sans KR"/>
        </w:rPr>
        <w:t>는 세 종류뿐입니다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9" w:name="__RefHeading___Toc4550_1421710836"/>
      <w:bookmarkEnd w:id="9"/>
      <w:r>
        <w:rPr>
          <w:rFonts w:eastAsia="Noto Sans KR" w:cs="Noto Sans KR" w:ascii="Noto Sans KR" w:hAnsi="Noto Sans KR"/>
        </w:rPr>
        <w:t>DB3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5-1. DB3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DB3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6223254"/>
        <w:gridCol w:w="3821176"/>
      </w:tblGrid>
      <w:tr>
        <w:trPr>
          <w:tblHeader w:val="true"/>
          <w:trHeight w:val="397" w:hRule="atLeast"/>
          <w:cantSplit w:val="true"/>
        </w:trPr>
        <w:tc>
          <w:tcPr>
            <w:tcW w:w="622325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Vendor</w:t>
            </w:r>
          </w:p>
        </w:tc>
        <w:tc>
          <w:tcPr>
            <w:tcW w:w="38211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상태</w:t>
            </w:r>
          </w:p>
        </w:tc>
      </w:tr>
      <w:tr>
        <w:trPr>
          <w:trHeight w:val="351" w:hRule="atLeast"/>
          <w:cantSplit w:val="true"/>
        </w:trPr>
        <w:tc>
          <w:tcPr>
            <w:tcW w:w="62232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</w:t>
            </w:r>
          </w:p>
        </w:tc>
        <w:tc>
          <w:tcPr>
            <w:tcW w:w="38211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공식</w:t>
            </w:r>
          </w:p>
        </w:tc>
      </w:tr>
      <w:tr>
        <w:trPr>
          <w:trHeight w:val="351" w:hRule="atLeast"/>
          <w:cantSplit w:val="true"/>
        </w:trPr>
        <w:tc>
          <w:tcPr>
            <w:tcW w:w="62232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PostgreSQL</w:t>
            </w:r>
          </w:p>
        </w:tc>
        <w:tc>
          <w:tcPr>
            <w:tcW w:w="38211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공식</w:t>
            </w:r>
          </w:p>
        </w:tc>
      </w:tr>
      <w:tr>
        <w:trPr>
          <w:trHeight w:val="351" w:hRule="atLeast"/>
          <w:cantSplit w:val="true"/>
        </w:trPr>
        <w:tc>
          <w:tcPr>
            <w:tcW w:w="622325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MariaDB</w:t>
            </w:r>
          </w:p>
        </w:tc>
        <w:tc>
          <w:tcPr>
            <w:tcW w:w="38211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공식</w:t>
            </w:r>
          </w:p>
        </w:tc>
      </w:tr>
    </w:tbl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ascii="Noto Sans KR" w:hAnsi="Noto Sans KR" w:cs="Noto Sans KR" w:eastAsia="Noto Sans KR"/>
          <w:b/>
          <w:color w:val="4F46E5"/>
        </w:rPr>
        <w:t xml:space="preserve">제외  </w:t>
      </w:r>
      <w:r>
        <w:rPr>
          <w:rFonts w:eastAsia="Noto Sans KR" w:cs="Noto Sans KR" w:ascii="Noto Sans KR" w:hAnsi="Noto Sans KR"/>
        </w:rPr>
        <w:t>MySQL·MSSQL·H2</w:t>
      </w:r>
      <w:r>
        <w:rPr>
          <w:rFonts w:ascii="Noto Sans KR" w:hAnsi="Noto Sans KR" w:cs="Noto Sans KR" w:eastAsia="Noto Sans KR"/>
        </w:rPr>
        <w:t xml:space="preserve">를 공식 지원 </w:t>
      </w:r>
      <w:r>
        <w:rPr>
          <w:rFonts w:eastAsia="Noto Sans KR" w:cs="Noto Sans KR" w:ascii="Noto Sans KR" w:hAnsi="Noto Sans KR"/>
        </w:rPr>
        <w:t>Vendor</w:t>
      </w:r>
      <w:r>
        <w:rPr>
          <w:rFonts w:ascii="Noto Sans KR" w:hAnsi="Noto Sans KR" w:cs="Noto Sans KR" w:eastAsia="Noto Sans KR"/>
        </w:rPr>
        <w:t xml:space="preserve">나 </w:t>
      </w:r>
      <w:r>
        <w:rPr>
          <w:rFonts w:eastAsia="Noto Sans KR" w:cs="Noto Sans KR" w:ascii="Noto Sans KR" w:hAnsi="Noto Sans KR"/>
        </w:rPr>
        <w:t xml:space="preserve">Evidence </w:t>
      </w:r>
      <w:r>
        <w:rPr>
          <w:rFonts w:ascii="Noto Sans KR" w:hAnsi="Noto Sans KR" w:cs="Noto Sans KR" w:eastAsia="Noto Sans KR"/>
        </w:rPr>
        <w:t>기준으로 사용하지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spacing w:before="320" w:after="120"/>
        <w:rPr/>
      </w:pPr>
      <w:bookmarkStart w:id="10" w:name="__RefHeading___Toc4552_1421710836"/>
      <w:bookmarkEnd w:id="10"/>
      <w:r>
        <w:rPr>
          <w:rFonts w:eastAsia="Noto Sans KR" w:cs="Noto Sans KR" w:ascii="Noto Sans KR" w:hAnsi="Noto Sans KR"/>
        </w:rPr>
        <w:t>6 Topology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Optionality</w:t>
      </w:r>
    </w:p>
    <w:p>
      <w:pPr>
        <w:pStyle w:val="CPFSectionLead"/>
        <w:pBdr>
          <w:left w:val="single" w:sz="16" w:space="7" w:color="8AA4BE"/>
        </w:pBdr>
        <w:shd w:fill="F3F7FA"/>
        <w:spacing w:before="20" w:after="80"/>
        <w:ind w:start="255" w:end="113"/>
        <w:rPr/>
      </w:pPr>
      <w:r>
        <w:rPr>
          <w:rFonts w:ascii="Noto Sans KR" w:hAnsi="Noto Sans KR" w:cs="Noto Sans KR" w:eastAsia="Noto Sans KR"/>
        </w:rPr>
        <w:t xml:space="preserve">동일 </w:t>
      </w:r>
      <w:r>
        <w:rPr>
          <w:rFonts w:eastAsia="Noto Sans KR" w:cs="Noto Sans KR" w:ascii="Noto Sans KR" w:hAnsi="Noto Sans KR"/>
        </w:rPr>
        <w:t>JVM·</w:t>
      </w:r>
      <w:r>
        <w:rPr>
          <w:rFonts w:ascii="Noto Sans KR" w:hAnsi="Noto Sans KR" w:cs="Noto Sans KR" w:eastAsia="Noto Sans KR"/>
        </w:rPr>
        <w:t xml:space="preserve">분리 </w:t>
      </w:r>
      <w:r>
        <w:rPr>
          <w:rFonts w:eastAsia="Noto Sans KR" w:cs="Noto Sans KR" w:ascii="Noto Sans KR" w:hAnsi="Noto Sans KR"/>
        </w:rPr>
        <w:t>WAS·MSA</w:t>
      </w:r>
      <w:r>
        <w:rPr>
          <w:rFonts w:ascii="Noto Sans KR" w:hAnsi="Noto Sans KR" w:cs="Noto Sans KR" w:eastAsia="Noto Sans KR"/>
        </w:rPr>
        <w:t xml:space="preserve">에서 업무 계약은 유지하고 </w:t>
      </w:r>
      <w:r>
        <w:rPr>
          <w:rFonts w:eastAsia="Noto Sans KR" w:cs="Noto Sans KR" w:ascii="Noto Sans KR" w:hAnsi="Noto Sans KR"/>
        </w:rPr>
        <w:t>Transport</w:t>
      </w:r>
      <w:r>
        <w:rPr>
          <w:rFonts w:ascii="Noto Sans KR" w:hAnsi="Noto Sans KR" w:cs="Noto Sans KR" w:eastAsia="Noto Sans KR"/>
        </w:rPr>
        <w:t>만 바뀝니다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spacing w:before="20" w:after="80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 xml:space="preserve">Core/Public </w:t>
      </w:r>
      <w:r>
        <w:rPr>
          <w:rFonts w:ascii="Noto Sans KR" w:hAnsi="Noto Sans KR" w:cs="Noto Sans KR" w:eastAsia="Noto Sans KR"/>
        </w:rPr>
        <w:t xml:space="preserve">계약을 유지하면서 </w:t>
      </w:r>
      <w:r>
        <w:rPr>
          <w:rFonts w:eastAsia="Noto Sans KR" w:cs="Noto Sans KR" w:ascii="Noto Sans KR" w:hAnsi="Noto Sans KR"/>
        </w:rPr>
        <w:t>Runtime topology</w:t>
      </w:r>
      <w:r>
        <w:rPr>
          <w:rFonts w:ascii="Noto Sans KR" w:hAnsi="Noto Sans KR" w:cs="Noto Sans KR" w:eastAsia="Noto Sans KR"/>
        </w:rPr>
        <w:t xml:space="preserve">와 선택형 </w:t>
      </w:r>
      <w:r>
        <w:rPr>
          <w:rFonts w:eastAsia="Noto Sans KR" w:cs="Noto Sans KR" w:ascii="Noto Sans KR" w:hAnsi="Noto Sans KR"/>
        </w:rPr>
        <w:t>Gateway/Backoffice</w:t>
      </w:r>
      <w:r>
        <w:rPr>
          <w:rFonts w:ascii="Noto Sans KR" w:hAnsi="Noto Sans KR" w:cs="Noto Sans KR" w:eastAsia="Noto Sans KR"/>
        </w:rPr>
        <w:t>를 분리합니다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1" w:name="__RefHeading___Toc4554_1421710836"/>
      <w:bookmarkEnd w:id="11"/>
      <w:r>
        <w:rPr>
          <w:rFonts w:eastAsia="Noto Sans KR" w:ascii="Noto Sans KR" w:hAnsi="Noto Sans KR" w:cs="Noto Sans KR"/>
        </w:rPr>
        <w:t xml:space="preserve">Topology </w:t>
      </w:r>
      <w:r>
        <w:rPr>
          <w:rFonts w:ascii="Noto Sans KR" w:hAnsi="Noto Sans KR" w:eastAsia="Noto Sans KR" w:cs="Noto Sans KR"/>
        </w:rPr>
        <w:t>선택 기준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6-1. Topology </w:t>
      </w:r>
      <w:r>
        <w:rPr>
          <w:rFonts w:ascii="Noto Sans KR" w:hAnsi="Noto Sans KR" w:eastAsia="Noto Sans KR" w:cs="Noto Sans KR"/>
          <w:b/>
          <w:color w:val="17324D"/>
          <w:sz w:val="20"/>
        </w:rPr>
        <w:t>선택 기준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Topology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선택 기준의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958701"/>
        <w:gridCol w:w="3103959"/>
        <w:gridCol w:w="2532364"/>
        <w:gridCol w:w="3449406"/>
      </w:tblGrid>
      <w:tr>
        <w:trPr>
          <w:tblHeader w:val="true"/>
          <w:cantSplit w:val="true"/>
        </w:trPr>
        <w:tc>
          <w:tcPr>
            <w:tcW w:w="95870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상황</w:t>
            </w:r>
          </w:p>
        </w:tc>
        <w:tc>
          <w:tcPr>
            <w:tcW w:w="310395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호출</w:t>
            </w:r>
            <w:r>
              <w:rPr>
                <w:rFonts w:eastAsia="Noto Sans KR" w:ascii="Noto Sans KR" w:hAnsi="Noto Sans KR" w:cs="Noto Sans KR"/>
                <w:b/>
                <w:color w:val="FFFFFF"/>
                <w:sz w:val="18"/>
              </w:rPr>
              <w:t>/</w:t>
            </w: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진입 경계</w:t>
            </w:r>
          </w:p>
        </w:tc>
        <w:tc>
          <w:tcPr>
            <w:tcW w:w="253236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유지되는 계약</w:t>
            </w:r>
          </w:p>
        </w:tc>
        <w:tc>
          <w:tcPr>
            <w:tcW w:w="344940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선택 판단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Same JVM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Caller → in-process binding → Owner Domain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Domain Operation·CpfContext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 xml:space="preserve">self-HTTP·Gateway 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재경유 금지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분리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WAS/MSA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Registry/Transport → Owner Domain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Domain Operation·System6·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결과 상태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배포 위치만 바꾸고 업무 계약은 유지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Entry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External → Gateway(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선택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) → Target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Edge Policy·Target Operation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 xml:space="preserve">·Route·Rate Limit 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등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 xml:space="preserve">Edge 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정책이 필요할 때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Backoffice/BFF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Channel/BFF → Owner Domain Contract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Owner·Permission·Audit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선택형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Surface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이며 업무 원장을 직접 우회하지 않음</w:t>
            </w:r>
          </w:p>
        </w:tc>
      </w:tr>
    </w:tbl>
    <w:p>
      <w:pPr>
        <w:pStyle w:val="CPFCallout"/>
        <w:pBdr>
          <w:left w:val="single" w:sz="16" w:space="7" w:color="4F46E5"/>
        </w:pBdr>
        <w:shd w:fill="F7FAFD"/>
        <w:spacing w:before="100" w:after="100"/>
        <w:ind w:start="255" w:end="113"/>
        <w:rPr/>
      </w:pPr>
      <w:r>
        <w:rPr>
          <w:rFonts w:ascii="Noto Sans KR" w:hAnsi="Noto Sans KR" w:eastAsia="Noto Sans KR" w:cs="Noto Sans KR"/>
        </w:rPr>
        <w:t xml:space="preserve">선택하지 않은 </w:t>
      </w:r>
      <w:r>
        <w:rPr>
          <w:rFonts w:eastAsia="Noto Sans KR" w:ascii="Noto Sans KR" w:hAnsi="Noto Sans KR" w:cs="Noto Sans KR"/>
        </w:rPr>
        <w:t>Optional Capability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Bean·Thread·SQL·Endpoint Side Effect</w:t>
      </w:r>
      <w:r>
        <w:rPr>
          <w:rFonts w:ascii="Noto Sans KR" w:hAnsi="Noto Sans KR" w:eastAsia="Noto Sans KR" w:cs="Noto Sans KR"/>
        </w:rPr>
        <w:t>를 남기지 않는 것이 기본 계약입니다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2" w:name="__RefHeading___Toc4556_1421710836"/>
      <w:bookmarkEnd w:id="12"/>
      <w:r>
        <w:rPr>
          <w:rFonts w:ascii="Noto Sans KR" w:hAnsi="Noto Sans KR" w:eastAsia="Noto Sans KR" w:cs="Noto Sans KR"/>
        </w:rPr>
        <w:t xml:space="preserve">7 Result·Error·Transaction </w:t>
      </w:r>
      <w:r>
        <w:rPr>
          <w:rFonts w:ascii="Noto Sans KR" w:hAnsi="Noto Sans KR" w:eastAsia="Noto Sans KR" w:cs="Noto Sans KR"/>
        </w:rPr>
        <w:t>계약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Public Contract</w:t>
      </w:r>
      <w:r>
        <w:rPr>
          <w:rFonts w:ascii="Noto Sans KR" w:hAnsi="Noto Sans KR" w:eastAsia="Noto Sans KR" w:cs="Noto Sans KR"/>
        </w:rPr>
        <w:t>는 성공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업무실패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기술실패</w:t>
      </w:r>
      <w:r>
        <w:rPr>
          <w:rFonts w:eastAsia="Noto Sans KR" w:ascii="Noto Sans KR" w:hAnsi="Noto Sans KR" w:cs="Noto Sans KR"/>
        </w:rPr>
        <w:t>/UNKNOWN</w:t>
      </w:r>
      <w:r>
        <w:rPr>
          <w:rFonts w:ascii="Noto Sans KR" w:hAnsi="Noto Sans KR" w:eastAsia="Noto Sans KR" w:cs="Noto Sans KR"/>
        </w:rPr>
        <w:t xml:space="preserve">을 구분하고 </w:t>
      </w:r>
      <w:r>
        <w:rPr>
          <w:rFonts w:eastAsia="Noto Sans KR" w:ascii="Noto Sans KR" w:hAnsi="Noto Sans KR" w:cs="Noto Sans KR"/>
        </w:rPr>
        <w:t>Local Transaction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Remote Side Effect</w:t>
      </w:r>
      <w:r>
        <w:rPr>
          <w:rFonts w:ascii="Noto Sans KR" w:hAnsi="Noto Sans KR" w:eastAsia="Noto Sans KR" w:cs="Noto Sans KR"/>
        </w:rPr>
        <w:t>의 원자성 경계를 분리합니다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4558_1421710836"/>
      <w:bookmarkEnd w:id="13"/>
      <w:r>
        <w:rPr>
          <w:rFonts w:ascii="Noto Sans KR" w:hAnsi="Noto Sans KR" w:eastAsia="Noto Sans KR" w:cs="Noto Sans KR"/>
        </w:rPr>
        <w:t>Result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HTTP Mapping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CpfResult</w:t>
      </w:r>
      <w:r>
        <w:rPr>
          <w:rFonts w:ascii="Noto Sans KR" w:hAnsi="Noto Sans KR" w:eastAsia="Noto Sans KR" w:cs="Noto Sans KR"/>
        </w:rPr>
        <w:t xml:space="preserve">의 상태는 </w:t>
      </w:r>
      <w:r>
        <w:rPr>
          <w:rFonts w:eastAsia="Noto Sans KR" w:ascii="Noto Sans KR" w:hAnsi="Noto Sans KR" w:cs="Noto Sans KR"/>
        </w:rPr>
        <w:t xml:space="preserve">HTTP/Domain </w:t>
      </w:r>
      <w:r>
        <w:rPr>
          <w:rFonts w:ascii="Noto Sans KR" w:hAnsi="Noto Sans KR" w:eastAsia="Noto Sans KR" w:cs="Noto Sans KR"/>
        </w:rPr>
        <w:t>경계에서 의미를 유지합니다</w:t>
      </w:r>
      <w:r>
        <w:rPr>
          <w:rFonts w:eastAsia="Noto Sans KR" w:ascii="Noto Sans KR" w:hAnsi="Noto Sans KR" w:cs="Noto Sans KR"/>
        </w:rPr>
        <w:t>. 401/403/404/409/429/500/503</w:t>
      </w:r>
      <w:r>
        <w:rPr>
          <w:rFonts w:ascii="Noto Sans KR" w:hAnsi="Noto Sans KR" w:eastAsia="Noto Sans KR" w:cs="Noto Sans KR"/>
        </w:rPr>
        <w:t xml:space="preserve">은 표준 오류 계약과 </w:t>
      </w:r>
      <w:r>
        <w:rPr>
          <w:rFonts w:eastAsia="Noto Sans KR" w:ascii="Noto Sans KR" w:hAnsi="Noto Sans KR" w:cs="Noto Sans KR"/>
        </w:rPr>
        <w:t>operationId/transactionId</w:t>
      </w:r>
      <w:r>
        <w:rPr>
          <w:rFonts w:ascii="Noto Sans KR" w:hAnsi="Noto Sans KR" w:eastAsia="Noto Sans KR" w:cs="Noto Sans KR"/>
        </w:rPr>
        <w:t>를 연결합니다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4560_1421710836"/>
      <w:bookmarkEnd w:id="14"/>
      <w:r>
        <w:rPr>
          <w:rFonts w:ascii="Noto Sans KR" w:hAnsi="Noto Sans KR" w:eastAsia="Noto Sans KR" w:cs="Noto Sans KR"/>
        </w:rPr>
        <w:t>Idempotency·Retry·Reconcile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중복 방지는 </w:t>
      </w:r>
      <w:r>
        <w:rPr>
          <w:rFonts w:eastAsia="Noto Sans KR" w:ascii="Noto Sans KR" w:hAnsi="Noto Sans KR" w:cs="Noto Sans KR"/>
        </w:rPr>
        <w:t xml:space="preserve">@CpfIdempotent, </w:t>
      </w:r>
      <w:r>
        <w:rPr>
          <w:rFonts w:ascii="Noto Sans KR" w:hAnsi="Noto Sans KR" w:eastAsia="Noto Sans KR" w:cs="Noto Sans KR"/>
        </w:rPr>
        <w:t xml:space="preserve">제한 재시도는 </w:t>
      </w:r>
      <w:r>
        <w:rPr>
          <w:rFonts w:eastAsia="Noto Sans KR" w:ascii="Noto Sans KR" w:hAnsi="Noto Sans KR" w:cs="Noto Sans KR"/>
        </w:rPr>
        <w:t xml:space="preserve">@CpfRetry, 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deadline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@CpfTimeLimiter</w:t>
      </w:r>
      <w:r>
        <w:rPr>
          <w:rFonts w:ascii="Noto Sans KR" w:hAnsi="Noto Sans KR" w:eastAsia="Noto Sans KR" w:cs="Noto Sans KR"/>
        </w:rPr>
        <w:t>를 사용합니다</w:t>
      </w:r>
      <w:r>
        <w:rPr>
          <w:rFonts w:eastAsia="Noto Sans KR" w:ascii="Noto Sans KR" w:hAnsi="Noto Sans KR" w:cs="Noto Sans KR"/>
        </w:rPr>
        <w:t xml:space="preserve">. Side Effect </w:t>
      </w:r>
      <w:r>
        <w:rPr>
          <w:rFonts w:ascii="Noto Sans KR" w:hAnsi="Noto Sans KR" w:eastAsia="Noto Sans KR" w:cs="Noto Sans KR"/>
        </w:rPr>
        <w:t xml:space="preserve">결과 미확정은 </w:t>
      </w:r>
      <w:r>
        <w:rPr>
          <w:rFonts w:eastAsia="Noto Sans KR" w:ascii="Noto Sans KR" w:hAnsi="Noto Sans KR" w:cs="Noto Sans KR"/>
        </w:rPr>
        <w:t>UNKNOWN</w:t>
      </w:r>
      <w:r>
        <w:rPr>
          <w:rFonts w:ascii="Noto Sans KR" w:hAnsi="Noto Sans KR" w:eastAsia="Noto Sans KR" w:cs="Noto Sans KR"/>
        </w:rPr>
        <w:t xml:space="preserve">으로 남기고 </w:t>
      </w:r>
      <w:r>
        <w:rPr>
          <w:rFonts w:eastAsia="Noto Sans KR" w:ascii="Noto Sans KR" w:hAnsi="Noto Sans KR" w:cs="Noto Sans KR"/>
        </w:rPr>
        <w:t>Reconcile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5" w:name="__RefHeading___Toc4562_1421710836"/>
      <w:bookmarkEnd w:id="15"/>
      <w:r>
        <w:rPr>
          <w:rFonts w:ascii="Noto Sans KR" w:hAnsi="Noto Sans KR" w:eastAsia="Noto Sans KR" w:cs="Noto Sans KR"/>
        </w:rPr>
        <w:t xml:space="preserve">8 Messaging·Cache·File·Security </w:t>
      </w:r>
      <w:r>
        <w:rPr>
          <w:rFonts w:ascii="Noto Sans KR" w:hAnsi="Noto Sans KR" w:eastAsia="Noto Sans KR" w:cs="Noto Sans KR"/>
        </w:rPr>
        <w:t>계약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선택 </w:t>
      </w:r>
      <w:r>
        <w:rPr>
          <w:rFonts w:eastAsia="Noto Sans KR" w:ascii="Noto Sans KR" w:hAnsi="Noto Sans KR" w:cs="Noto Sans KR"/>
        </w:rPr>
        <w:t>Provider</w:t>
      </w:r>
      <w:r>
        <w:rPr>
          <w:rFonts w:ascii="Noto Sans KR" w:hAnsi="Noto Sans KR" w:eastAsia="Noto Sans KR" w:cs="Noto Sans KR"/>
        </w:rPr>
        <w:t xml:space="preserve">가 바뀌어도 </w:t>
      </w:r>
      <w:r>
        <w:rPr>
          <w:rFonts w:eastAsia="Noto Sans KR" w:ascii="Noto Sans KR" w:hAnsi="Noto Sans KR" w:cs="Noto Sans KR"/>
        </w:rPr>
        <w:t xml:space="preserve">Context, Failure, Security, Trace </w:t>
      </w:r>
      <w:r>
        <w:rPr>
          <w:rFonts w:ascii="Noto Sans KR" w:hAnsi="Noto Sans KR" w:eastAsia="Noto Sans KR" w:cs="Noto Sans KR"/>
        </w:rPr>
        <w:t>계약을 유지합니다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4564_1421710836"/>
      <w:bookmarkEnd w:id="16"/>
      <w:r>
        <w:rPr>
          <w:rFonts w:ascii="Noto Sans KR" w:hAnsi="Noto Sans KR" w:eastAsia="Noto Sans KR" w:cs="Noto Sans KR"/>
        </w:rPr>
        <w:t>Messaging·Notification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Producer/Consumer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messageId/idempotencyKey/Context</w:t>
      </w:r>
      <w:r>
        <w:rPr>
          <w:rFonts w:ascii="Noto Sans KR" w:hAnsi="Noto Sans KR" w:eastAsia="Noto Sans KR" w:cs="Noto Sans KR"/>
        </w:rPr>
        <w:t xml:space="preserve">를 전파하고 </w:t>
      </w:r>
      <w:r>
        <w:rPr>
          <w:rFonts w:eastAsia="Noto Sans KR" w:ascii="Noto Sans KR" w:hAnsi="Noto Sans KR" w:cs="Noto Sans KR"/>
        </w:rPr>
        <w:t xml:space="preserve">DLQ/Replay </w:t>
      </w:r>
      <w:r>
        <w:rPr>
          <w:rFonts w:ascii="Noto Sans KR" w:hAnsi="Noto Sans KR" w:eastAsia="Noto Sans KR" w:cs="Noto Sans KR"/>
        </w:rPr>
        <w:t>시 기존 처리 상태를 확인합니다</w:t>
      </w:r>
      <w:r>
        <w:rPr>
          <w:rFonts w:eastAsia="Noto Sans KR" w:ascii="Noto Sans KR" w:hAnsi="Noto Sans KR" w:cs="Noto Sans KR"/>
        </w:rPr>
        <w:t>. Notification</w:t>
      </w:r>
      <w:r>
        <w:rPr>
          <w:rFonts w:ascii="Noto Sans KR" w:hAnsi="Noto Sans KR" w:eastAsia="Noto Sans KR" w:cs="Noto Sans KR"/>
        </w:rPr>
        <w:t>은 채널 전달 상태와 업무 성공을 구분합니다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4566_1421710836"/>
      <w:bookmarkEnd w:id="17"/>
      <w:r>
        <w:rPr>
          <w:rFonts w:ascii="Noto Sans KR" w:hAnsi="Noto Sans KR" w:eastAsia="Noto Sans KR" w:cs="Noto Sans KR"/>
        </w:rPr>
        <w:t>Cache·File·Object Storage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Cache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TTL/invalidation/multi-instance/stampede/fail-open </w:t>
      </w:r>
      <w:r>
        <w:rPr>
          <w:rFonts w:ascii="Noto Sans KR" w:hAnsi="Noto Sans KR" w:eastAsia="Noto Sans KR" w:cs="Noto Sans KR"/>
        </w:rPr>
        <w:t>정책을</w:t>
      </w:r>
      <w:r>
        <w:rPr>
          <w:rFonts w:eastAsia="Noto Sans KR" w:ascii="Noto Sans KR" w:hAnsi="Noto Sans KR" w:cs="Noto Sans KR"/>
        </w:rPr>
        <w:t>, File/Object Storage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metadata/</w:t>
      </w:r>
      <w:r>
        <w:rPr>
          <w:rFonts w:ascii="Noto Sans KR" w:hAnsi="Noto Sans KR" w:eastAsia="Noto Sans KR" w:cs="Noto Sans KR"/>
        </w:rPr>
        <w:t>권한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보존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복구를 명시합니다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4568_1421710836"/>
      <w:bookmarkEnd w:id="18"/>
      <w:r>
        <w:rPr>
          <w:rFonts w:ascii="Noto Sans KR" w:hAnsi="Noto Sans KR" w:eastAsia="Noto Sans KR" w:cs="Noto Sans KR"/>
        </w:rPr>
        <w:t>Security·Approval·Audit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Authentication/Authorization, Masking/Secret, Permission/Reason/Approval/Audit</w:t>
      </w:r>
      <w:r>
        <w:rPr>
          <w:rFonts w:ascii="Noto Sans KR" w:hAnsi="Noto Sans KR" w:eastAsia="Noto Sans KR" w:cs="Noto Sans KR"/>
        </w:rPr>
        <w:t xml:space="preserve">는 위험 조치와 </w:t>
      </w:r>
      <w:r>
        <w:rPr>
          <w:rFonts w:eastAsia="Noto Sans KR" w:ascii="Noto Sans KR" w:hAnsi="Noto Sans KR" w:cs="Noto Sans KR"/>
        </w:rPr>
        <w:t xml:space="preserve">Public API </w:t>
      </w:r>
      <w:r>
        <w:rPr>
          <w:rFonts w:ascii="Noto Sans KR" w:hAnsi="Noto Sans KR" w:eastAsia="Noto Sans KR" w:cs="Noto Sans KR"/>
        </w:rPr>
        <w:t>경계에 적용합니다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9" w:name="__RefHeading___Toc4570_1421710836"/>
      <w:bookmarkEnd w:id="19"/>
      <w:r>
        <w:rPr>
          <w:rFonts w:ascii="Noto Sans KR" w:hAnsi="Noto Sans KR" w:eastAsia="Noto Sans KR" w:cs="Noto Sans KR"/>
        </w:rPr>
        <w:t xml:space="preserve">9 Batch·Gateway·DB·Platform State </w:t>
      </w:r>
      <w:r>
        <w:rPr>
          <w:rFonts w:ascii="Noto Sans KR" w:hAnsi="Noto Sans KR" w:eastAsia="Noto Sans KR" w:cs="Noto Sans KR"/>
        </w:rPr>
        <w:t>계약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독립 </w:t>
      </w:r>
      <w:r>
        <w:rPr>
          <w:rFonts w:eastAsia="Noto Sans KR" w:ascii="Noto Sans KR" w:hAnsi="Noto Sans KR" w:cs="Noto Sans KR"/>
        </w:rPr>
        <w:t>Runtime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DB Lifecycle</w:t>
      </w:r>
      <w:r>
        <w:rPr>
          <w:rFonts w:ascii="Noto Sans KR" w:hAnsi="Noto Sans KR" w:eastAsia="Noto Sans KR" w:cs="Noto Sans KR"/>
        </w:rPr>
        <w:t xml:space="preserve">도 </w:t>
      </w:r>
      <w:r>
        <w:rPr>
          <w:rFonts w:eastAsia="Noto Sans KR" w:ascii="Noto Sans KR" w:hAnsi="Noto Sans KR" w:cs="Noto Sans KR"/>
        </w:rPr>
        <w:t>Public Contract</w:t>
      </w:r>
      <w:r>
        <w:rPr>
          <w:rFonts w:ascii="Noto Sans KR" w:hAnsi="Noto Sans KR" w:eastAsia="Noto Sans KR" w:cs="Noto Sans KR"/>
        </w:rPr>
        <w:t xml:space="preserve">와 동일한 </w:t>
      </w:r>
      <w:r>
        <w:rPr>
          <w:rFonts w:eastAsia="Noto Sans KR" w:ascii="Noto Sans KR" w:hAnsi="Noto Sans KR" w:cs="Noto Sans KR"/>
        </w:rPr>
        <w:t xml:space="preserve">Identity/Failure/Audit </w:t>
      </w:r>
      <w:r>
        <w:rPr>
          <w:rFonts w:ascii="Noto Sans KR" w:hAnsi="Noto Sans KR" w:eastAsia="Noto Sans KR" w:cs="Noto Sans KR"/>
        </w:rPr>
        <w:t>규칙을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0" w:name="__RefHeading___Toc4572_1421710836"/>
      <w:bookmarkEnd w:id="20"/>
      <w:r>
        <w:rPr>
          <w:rFonts w:ascii="Noto Sans KR" w:hAnsi="Noto Sans KR" w:eastAsia="Noto Sans KR" w:cs="Noto Sans KR"/>
        </w:rPr>
        <w:t>Batch·Gateway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Lease/Fencing/Checkpoint/Recovery</w:t>
      </w:r>
      <w:r>
        <w:rPr>
          <w:rFonts w:ascii="Noto Sans KR" w:hAnsi="Noto Sans KR" w:eastAsia="Noto Sans KR" w:cs="Noto Sans KR"/>
        </w:rPr>
        <w:t>를</w:t>
      </w:r>
      <w:r>
        <w:rPr>
          <w:rFonts w:eastAsia="Noto Sans KR" w:ascii="Noto Sans KR" w:hAnsi="Noto Sans KR" w:cs="Noto Sans KR"/>
        </w:rPr>
        <w:t>, Gateway</w:t>
      </w:r>
      <w:r>
        <w:rPr>
          <w:rFonts w:ascii="Noto Sans KR" w:hAnsi="Noto Sans KR" w:eastAsia="Noto Sans KR" w:cs="Noto Sans KR"/>
        </w:rPr>
        <w:t xml:space="preserve">는 외부 </w:t>
      </w:r>
      <w:r>
        <w:rPr>
          <w:rFonts w:eastAsia="Noto Sans KR" w:ascii="Noto Sans KR" w:hAnsi="Noto Sans KR" w:cs="Noto Sans KR"/>
        </w:rPr>
        <w:t>Entry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Route/Security/Rate Limit</w:t>
      </w:r>
      <w:r>
        <w:rPr>
          <w:rFonts w:ascii="Noto Sans KR" w:hAnsi="Noto Sans KR" w:eastAsia="Noto Sans KR" w:cs="Noto Sans KR"/>
        </w:rPr>
        <w:t>을 소유합니다</w:t>
      </w:r>
      <w:r>
        <w:rPr>
          <w:rFonts w:eastAsia="Noto Sans KR" w:ascii="Noto Sans KR" w:hAnsi="Noto Sans KR" w:cs="Noto Sans KR"/>
        </w:rPr>
        <w:t>. Gateway</w:t>
      </w:r>
      <w:r>
        <w:rPr>
          <w:rFonts w:ascii="Noto Sans KR" w:hAnsi="Noto Sans KR" w:eastAsia="Noto Sans KR" w:cs="Noto Sans KR"/>
        </w:rPr>
        <w:t xml:space="preserve">는 내부 </w:t>
      </w:r>
      <w:r>
        <w:rPr>
          <w:rFonts w:eastAsia="Noto Sans KR" w:ascii="Noto Sans KR" w:hAnsi="Noto Sans KR" w:cs="Noto Sans KR"/>
        </w:rPr>
        <w:t xml:space="preserve">Domain </w:t>
      </w:r>
      <w:r>
        <w:rPr>
          <w:rFonts w:ascii="Noto Sans KR" w:hAnsi="Noto Sans KR" w:eastAsia="Noto Sans KR" w:cs="Noto Sans KR"/>
        </w:rPr>
        <w:t>호출 경로가 아닙니다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1" w:name="__RefHeading___Toc4574_1421710836"/>
      <w:bookmarkEnd w:id="21"/>
      <w:r>
        <w:rPr>
          <w:rFonts w:ascii="Noto Sans KR" w:hAnsi="Noto Sans KR" w:eastAsia="Noto Sans KR" w:cs="Noto Sans KR"/>
        </w:rPr>
        <w:t>DB Lifecycle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ascii="Noto Sans KR" w:hAnsi="Noto Sans KR" w:eastAsia="Noto Sans KR" w:cs="Noto Sans KR"/>
        </w:rPr>
        <w:t>Platform State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DB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Canonical Source→Fresh→Migration→Upgrade→Rollback/Recovery→Seed→Runtime Query→Generator→Test/Evidence</w:t>
      </w:r>
      <w:r>
        <w:rPr>
          <w:rFonts w:ascii="Noto Sans KR" w:hAnsi="Noto Sans KR" w:eastAsia="Noto Sans KR" w:cs="Noto Sans KR"/>
        </w:rPr>
        <w:t xml:space="preserve">를 </w:t>
      </w:r>
      <w:r>
        <w:rPr>
          <w:rFonts w:eastAsia="Noto Sans KR" w:ascii="Noto Sans KR" w:hAnsi="Noto Sans KR" w:cs="Noto Sans KR"/>
        </w:rPr>
        <w:t>Oracle/PostgreSQL/MariaDB</w:t>
      </w:r>
      <w:r>
        <w:rPr>
          <w:rFonts w:ascii="Noto Sans KR" w:hAnsi="Noto Sans KR" w:eastAsia="Noto Sans KR" w:cs="Noto Sans KR"/>
        </w:rPr>
        <w:t>에서 유지합니다</w:t>
      </w:r>
      <w:r>
        <w:rPr>
          <w:rFonts w:eastAsia="Noto Sans KR" w:ascii="Noto Sans KR" w:hAnsi="Noto Sans KR" w:cs="Noto Sans KR"/>
        </w:rPr>
        <w:t>. Feature Flag/Config</w:t>
      </w:r>
      <w:r>
        <w:rPr>
          <w:rFonts w:ascii="Noto Sans KR" w:hAnsi="Noto Sans KR" w:eastAsia="Noto Sans KR" w:cs="Noto Sans KR"/>
        </w:rPr>
        <w:t>는 상태 변경 전후를 추적합니다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22" w:name="__RefHeading___Toc4576_1421710836"/>
      <w:bookmarkEnd w:id="22"/>
      <w:r>
        <w:rPr>
          <w:rFonts w:ascii="Noto Sans KR" w:hAnsi="Noto Sans KR" w:eastAsia="Noto Sans KR" w:cs="Noto Sans KR"/>
        </w:rPr>
        <w:t>10 Operations·OpenAPI·Compatibility·Acceptance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운영 </w:t>
      </w:r>
      <w:r>
        <w:rPr>
          <w:rFonts w:eastAsia="Noto Sans KR" w:ascii="Noto Sans KR" w:hAnsi="Noto Sans KR" w:cs="Noto Sans KR"/>
        </w:rPr>
        <w:t>Surface</w:t>
      </w:r>
      <w:r>
        <w:rPr>
          <w:rFonts w:ascii="Noto Sans KR" w:hAnsi="Noto Sans KR" w:eastAsia="Noto Sans KR" w:cs="Noto Sans KR"/>
        </w:rPr>
        <w:t xml:space="preserve">와 개발 </w:t>
      </w:r>
      <w:r>
        <w:rPr>
          <w:rFonts w:eastAsia="Noto Sans KR" w:ascii="Noto Sans KR" w:hAnsi="Noto Sans KR" w:cs="Noto Sans KR"/>
        </w:rPr>
        <w:t>Contract</w:t>
      </w:r>
      <w:r>
        <w:rPr>
          <w:rFonts w:ascii="Noto Sans KR" w:hAnsi="Noto Sans KR" w:eastAsia="Noto Sans KR" w:cs="Noto Sans KR"/>
        </w:rPr>
        <w:t xml:space="preserve">가 같은 </w:t>
      </w: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 xml:space="preserve">Public API </w:t>
      </w:r>
      <w:r>
        <w:rPr>
          <w:rFonts w:ascii="Noto Sans KR" w:hAnsi="Noto Sans KR" w:eastAsia="Noto Sans KR" w:cs="Noto Sans KR"/>
        </w:rPr>
        <w:t>정의를 가리켜야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3" w:name="__RefHeading___Toc4578_1421710836"/>
      <w:bookmarkEnd w:id="23"/>
      <w:r>
        <w:rPr>
          <w:rFonts w:ascii="Noto Sans KR" w:hAnsi="Noto Sans KR" w:eastAsia="Noto Sans KR" w:cs="Noto Sans KR"/>
        </w:rPr>
        <w:t>OpenAPI·Frontend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Backend OpenAPI operationId</w:t>
      </w:r>
      <w:r>
        <w:rPr>
          <w:rFonts w:ascii="Noto Sans KR" w:hAnsi="Noto Sans KR" w:eastAsia="Noto Sans KR" w:cs="Noto Sans KR"/>
        </w:rPr>
        <w:t xml:space="preserve">를 </w:t>
      </w:r>
      <w:r>
        <w:rPr>
          <w:rFonts w:eastAsia="Noto Sans KR" w:ascii="Noto Sans KR" w:hAnsi="Noto Sans KR" w:cs="Noto Sans KR"/>
        </w:rPr>
        <w:t>Generated Client</w:t>
      </w:r>
      <w:r>
        <w:rPr>
          <w:rFonts w:ascii="Noto Sans KR" w:hAnsi="Noto Sans KR" w:eastAsia="Noto Sans KR" w:cs="Noto Sans KR"/>
        </w:rPr>
        <w:t xml:space="preserve">와 실제 </w:t>
      </w:r>
      <w:r>
        <w:rPr>
          <w:rFonts w:eastAsia="Noto Sans KR" w:ascii="Noto Sans KR" w:hAnsi="Noto Sans KR" w:cs="Noto Sans KR"/>
        </w:rPr>
        <w:t>Frontend Consumer</w:t>
      </w:r>
      <w:r>
        <w:rPr>
          <w:rFonts w:ascii="Noto Sans KR" w:hAnsi="Noto Sans KR" w:eastAsia="Noto Sans KR" w:cs="Noto Sans KR"/>
        </w:rPr>
        <w:t>가 사용합니다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내부 구현 타입을 </w:t>
      </w:r>
      <w:r>
        <w:rPr>
          <w:rFonts w:eastAsia="Noto Sans KR" w:ascii="Noto Sans KR" w:hAnsi="Noto Sans KR" w:cs="Noto Sans KR"/>
        </w:rPr>
        <w:t>OpenAPI/Public Client</w:t>
      </w:r>
      <w:r>
        <w:rPr>
          <w:rFonts w:ascii="Noto Sans KR" w:hAnsi="Noto Sans KR" w:eastAsia="Noto Sans KR" w:cs="Noto Sans KR"/>
        </w:rPr>
        <w:t>로 누출하지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4" w:name="__RefHeading___Toc4580_1421710836"/>
      <w:bookmarkEnd w:id="24"/>
      <w:r>
        <w:rPr>
          <w:rFonts w:ascii="Noto Sans KR" w:hAnsi="Noto Sans KR" w:eastAsia="Noto Sans KR" w:cs="Noto Sans KR"/>
        </w:rPr>
        <w:t>Contract Acceptance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Source, Consumer, Config, DB3, Generator, OpenAPI, Frontend, Unit/Integration/Runtime Test, Failure/Recovery Evidence</w:t>
      </w:r>
      <w:r>
        <w:rPr>
          <w:rFonts w:ascii="Noto Sans KR" w:hAnsi="Noto Sans KR" w:eastAsia="Noto Sans KR" w:cs="Noto Sans KR"/>
        </w:rPr>
        <w:t xml:space="preserve">가 동일 계약을 가리키고 실제 </w:t>
      </w:r>
      <w:r>
        <w:rPr>
          <w:rFonts w:eastAsia="Noto Sans KR" w:ascii="Noto Sans KR" w:hAnsi="Noto Sans KR" w:cs="Noto Sans KR"/>
        </w:rPr>
        <w:t>Gate</w:t>
      </w:r>
      <w:r>
        <w:rPr>
          <w:rFonts w:ascii="Noto Sans KR" w:hAnsi="Noto Sans KR" w:eastAsia="Noto Sans KR" w:cs="Noto Sans KR"/>
        </w:rPr>
        <w:t>가 성공해야 완료입니다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cpf-docs/development/CPF_PUBLIC_FUNCTION_TOP_100.md · cpf-docs/governance/CPF_FINAL_TARGET_REQUIREMENTS.md · cpf-tools/generator/contracts/cpf-starter-catalog.json</w:t>
      </w:r>
    </w:p>
    <w:p>
      <w:pPr>
        <w:pStyle w:val="Heading2"/>
      </w:pPr>
      <w:r>
        <w:t>Compatibility Acceptance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4887"/>
        <w:gridCol w:w="5592778"/>
        <w:gridCol w:w="3346765"/>
      </w:tblGrid>
      <w:tr>
        <w:trPr>
          <w:tblHeader w:val="true"/>
          <w:cantSplit/>
        </w:trPr>
        <w:tc>
          <w:tcPr>
            <w:tcW w:type="dxa" w:w="1104887"/>
            <w:vAlign w:val="center"/>
            <w:shd w:fill="183B63" w:val="clear"/>
          </w:tcPr>
          <w:p>
            <w:pPr>
              <w:spacing w:after="40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계약 축</w:t>
            </w:r>
          </w:p>
        </w:tc>
        <w:tc>
          <w:tcPr>
            <w:tcW w:type="dxa" w:w="5592778"/>
            <w:vAlign w:val="center"/>
            <w:shd w:fill="183B63" w:val="clear"/>
          </w:tcPr>
          <w:p>
            <w:pPr>
              <w:spacing w:after="40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호환성 완료 조건</w:t>
            </w:r>
          </w:p>
        </w:tc>
        <w:tc>
          <w:tcPr>
            <w:tcW w:type="dxa" w:w="3346765"/>
            <w:vAlign w:val="center"/>
            <w:shd w:fill="183B63" w:val="clear"/>
          </w:tcPr>
          <w:p>
            <w:pPr>
              <w:spacing w:after="40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깨지면 안 되는 Consumer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API</w:t>
            </w:r>
          </w:p>
        </w:tc>
        <w:tc>
          <w:tcPr>
            <w:tcW w:type="dxa" w:w="5592778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기존 Signature/Result/Error 의미 유지 또는 명시적 Migration</w:t>
            </w:r>
          </w:p>
        </w:tc>
        <w:tc>
          <w:tcPr>
            <w:tcW w:type="dxa" w:w="3346765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Generated Domain·Sample·고객 업무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Starter/Profile</w:t>
            </w:r>
          </w:p>
        </w:tc>
        <w:tc>
          <w:tcPr>
            <w:tcW w:type="dxa" w:w="5592778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이름·Capability owner·AutoConfiguration 일치</w:t>
            </w:r>
          </w:p>
        </w:tc>
        <w:tc>
          <w:tcPr>
            <w:tcW w:type="dxa" w:w="3346765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build.gradle·metadata·Generator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OpenAPI</w:t>
            </w:r>
          </w:p>
        </w:tc>
        <w:tc>
          <w:tcPr>
            <w:tcW w:type="dxa" w:w="5592778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operationId/Schema와 Generated Client 일치</w:t>
            </w:r>
          </w:p>
        </w:tc>
        <w:tc>
          <w:tcPr>
            <w:tcW w:type="dxa" w:w="3346765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Frontend·외부 Client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DB3</w:t>
            </w:r>
          </w:p>
        </w:tc>
        <w:tc>
          <w:tcPr>
            <w:tcW w:type="dxa" w:w="5592778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세 Vendor의 Schema/Migration/Recovery 의미 동일</w:t>
            </w:r>
          </w:p>
        </w:tc>
        <w:tc>
          <w:tcPr>
            <w:tcW w:type="dxa" w:w="3346765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Repository·Runtime Query·Generator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Topology</w:t>
            </w:r>
          </w:p>
        </w:tc>
        <w:tc>
          <w:tcPr>
            <w:tcW w:type="dxa" w:w="5592778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Same JVM/Remote에서 Context/Failure 의미 동일</w:t>
            </w:r>
          </w:p>
        </w:tc>
        <w:tc>
          <w:tcPr>
            <w:tcW w:type="dxa" w:w="3346765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Domain Client·Registry/Transport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Operations</w:t>
            </w:r>
          </w:p>
        </w:tc>
        <w:tc>
          <w:tcPr>
            <w:tcW w:type="dxa" w:w="5592778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Identity/State/Recovery 조회 의미 유지</w:t>
            </w:r>
          </w:p>
        </w:tc>
        <w:tc>
          <w:tcPr>
            <w:tcW w:type="dxa" w:w="3346765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ADM·Backoffice·Runbook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Generator</w:t>
            </w:r>
          </w:p>
        </w:tc>
        <w:tc>
          <w:tcPr>
            <w:tcW w:type="dxa" w:w="5592778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Fresh generation 결과가 현재 Public Contract와 compile/test</w:t>
            </w:r>
          </w:p>
        </w:tc>
        <w:tc>
          <w:tcPr>
            <w:tcW w:type="dxa" w:w="3346765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신규 Domain·Upgrade Domain</w:t>
            </w:r>
          </w:p>
        </w:tc>
      </w:tr>
    </w:tbl>
    <w:p>
      <w:pPr>
        <w:pStyle w:val="CPFCallout"/>
      </w:pPr>
      <w:r>
        <w:t>호환성은 Compile 성공만으로 판정하지 않습니다. 기존 Consumer가 같은 의미로 호출·실패 분기·복구·운영 조회를 수행할 수 있어야 합니다.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Specification </w:t>
    </w:r>
    <w:r>
      <w:rPr>
        <w:rFonts w:ascii="Noto Sans KR" w:hAnsi="Noto Sans KR"/>
        <w:color w:val="5E7186"/>
        <w:sz w:val="15"/>
      </w:rPr>
      <w:t>기술 명세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2" w:before="0" w:after="18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20" w:after="26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7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20" w:after="13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2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0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4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10</Pages>
  <Words>1436</Words>
  <Characters>4993</Characters>
  <CharactersWithSpaces>5517</CharactersWithSpaces>
  <Paragraphs>211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